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FE95" w14:textId="77777777" w:rsidR="00D47AD5" w:rsidRPr="00D47AD5" w:rsidRDefault="00D47AD5" w:rsidP="00D47AD5">
      <w:pPr>
        <w:bidi w:val="0"/>
        <w:spacing w:line="360" w:lineRule="auto"/>
        <w:jc w:val="both"/>
        <w:rPr>
          <w:b/>
          <w:bCs/>
        </w:rPr>
      </w:pPr>
      <w:r w:rsidRPr="00D47AD5">
        <w:rPr>
          <w:b/>
          <w:bCs/>
        </w:rPr>
        <w:t xml:space="preserve">Population genetic data for 17 </w:t>
      </w:r>
      <w:bookmarkStart w:id="0" w:name="_Hlk114233505"/>
      <w:r w:rsidRPr="00D47AD5">
        <w:rPr>
          <w:b/>
          <w:bCs/>
        </w:rPr>
        <w:t>non-CODIS STR loci</w:t>
      </w:r>
      <w:bookmarkEnd w:id="0"/>
      <w:r w:rsidRPr="00D47AD5">
        <w:rPr>
          <w:b/>
          <w:bCs/>
        </w:rPr>
        <w:t xml:space="preserve"> for the Saudi Arabian population using the SureID®23comp Human Identification Kit.</w:t>
      </w:r>
    </w:p>
    <w:p w14:paraId="12387685" w14:textId="77777777" w:rsidR="00D47AD5" w:rsidRPr="00D47AD5" w:rsidRDefault="00D47AD5" w:rsidP="00D47AD5">
      <w:pPr>
        <w:bidi w:val="0"/>
        <w:spacing w:line="360" w:lineRule="auto"/>
        <w:jc w:val="both"/>
      </w:pPr>
      <w:r w:rsidRPr="00D47AD5">
        <w:t xml:space="preserve">Hussain M Alsafiah </w:t>
      </w:r>
      <w:r w:rsidRPr="00D47AD5">
        <w:rPr>
          <w:vertAlign w:val="superscript"/>
        </w:rPr>
        <w:t>1</w:t>
      </w:r>
      <w:r w:rsidRPr="00D47AD5">
        <w:t xml:space="preserve"> &amp; William H Goodwin </w:t>
      </w:r>
      <w:r w:rsidRPr="00D47AD5">
        <w:rPr>
          <w:vertAlign w:val="superscript"/>
        </w:rPr>
        <w:t>2</w:t>
      </w:r>
    </w:p>
    <w:p w14:paraId="1B277E5F" w14:textId="77777777" w:rsidR="00D47AD5" w:rsidRPr="00D47AD5" w:rsidRDefault="00D47AD5" w:rsidP="00D47AD5">
      <w:pPr>
        <w:numPr>
          <w:ilvl w:val="0"/>
          <w:numId w:val="2"/>
        </w:numPr>
        <w:bidi w:val="0"/>
        <w:spacing w:line="360" w:lineRule="auto"/>
        <w:jc w:val="both"/>
      </w:pPr>
      <w:r w:rsidRPr="00D47AD5">
        <w:t>Forensic Genetics Laboratory, General Administration of Criminal Evidences, Public Security, Ministry of Interior, Saudi Arabia.</w:t>
      </w:r>
    </w:p>
    <w:p w14:paraId="5527C2E0" w14:textId="77777777" w:rsidR="00D47AD5" w:rsidRPr="00D47AD5" w:rsidRDefault="00D47AD5" w:rsidP="00D47AD5">
      <w:pPr>
        <w:numPr>
          <w:ilvl w:val="0"/>
          <w:numId w:val="2"/>
        </w:numPr>
        <w:bidi w:val="0"/>
        <w:spacing w:line="360" w:lineRule="auto"/>
        <w:jc w:val="both"/>
      </w:pPr>
      <w:r w:rsidRPr="00D47AD5">
        <w:t>School of Natural Sciences, University of Central Lancashire, Preston, United Kingdom.</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06"/>
      </w:tblGrid>
      <w:tr w:rsidR="009C066D" w:rsidRPr="009C066D" w14:paraId="64FEF1D2" w14:textId="77777777" w:rsidTr="00770700">
        <w:tc>
          <w:tcPr>
            <w:tcW w:w="2415" w:type="dxa"/>
          </w:tcPr>
          <w:p w14:paraId="0DAC5335" w14:textId="77777777" w:rsidR="009C066D" w:rsidRPr="009C066D" w:rsidRDefault="009C066D" w:rsidP="009C066D">
            <w:pPr>
              <w:bidi w:val="0"/>
              <w:spacing w:after="160" w:line="360" w:lineRule="auto"/>
              <w:jc w:val="both"/>
            </w:pPr>
            <w:r w:rsidRPr="009C066D">
              <w:t>Corresponding Author:</w:t>
            </w:r>
          </w:p>
        </w:tc>
        <w:tc>
          <w:tcPr>
            <w:tcW w:w="6606" w:type="dxa"/>
          </w:tcPr>
          <w:p w14:paraId="2700CE81" w14:textId="77777777" w:rsidR="009C066D" w:rsidRPr="009C066D" w:rsidRDefault="009C066D" w:rsidP="009C066D">
            <w:pPr>
              <w:bidi w:val="0"/>
              <w:spacing w:after="160" w:line="360" w:lineRule="auto"/>
              <w:jc w:val="both"/>
            </w:pPr>
            <w:r w:rsidRPr="009C066D">
              <w:t>Hussain M Alsafiah.</w:t>
            </w:r>
          </w:p>
        </w:tc>
      </w:tr>
    </w:tbl>
    <w:p w14:paraId="459CC3AC" w14:textId="205CF2E0" w:rsidR="00215706" w:rsidRDefault="000C3E4E" w:rsidP="00E34D6A">
      <w:pPr>
        <w:bidi w:val="0"/>
        <w:spacing w:line="360" w:lineRule="auto"/>
        <w:jc w:val="both"/>
        <w:rPr>
          <w:b/>
          <w:bCs/>
        </w:rPr>
      </w:pPr>
      <w:r>
        <w:rPr>
          <w:b/>
          <w:bCs/>
        </w:rPr>
        <w:t>Abstract</w:t>
      </w:r>
    </w:p>
    <w:p w14:paraId="32B3D3CA" w14:textId="77777777" w:rsidR="00293903" w:rsidRPr="00293903" w:rsidRDefault="00293903" w:rsidP="00293903">
      <w:pPr>
        <w:bidi w:val="0"/>
        <w:spacing w:line="360" w:lineRule="auto"/>
        <w:jc w:val="both"/>
        <w:rPr>
          <w:rFonts w:asciiTheme="majorHAnsi" w:hAnsiTheme="majorHAnsi" w:cstheme="majorHAnsi"/>
        </w:rPr>
      </w:pPr>
      <w:r w:rsidRPr="00293903">
        <w:rPr>
          <w:rFonts w:asciiTheme="majorHAnsi" w:hAnsiTheme="majorHAnsi" w:cstheme="majorHAnsi"/>
        </w:rPr>
        <w:t>Our previous work focused on validation the SureID 23comp Human Identification Kit (Health Gene Technologies, China), following the minimum criteria for validation recommended by the European Network of Forensic Science Institutes (ENFSI) and the Scientific Working Group on DNA Analysis Methods (SWGDAM) using 500 samples from the population of Saudi Arabia. The kit genotypes 22 STRs, 17 of which are non-CODIS, and Amelogenin. The validation tests showed that it has the potential to increase the level of confidence in conclusions in complex cases especially in a country like Saudi Arabia where consanguineous marriage is more common. Previous studies on the population of Saudi Arabia, either by questionnaires or by genetic testing using 21 STRs included in the GlobalFiler kit, suggested an elevated rate of consanguinity in the population of Saudi Arabia</w:t>
      </w:r>
      <w:r w:rsidRPr="00293903">
        <w:rPr>
          <w:rFonts w:asciiTheme="majorHAnsi" w:hAnsiTheme="majorHAnsi" w:cstheme="majorHAnsi"/>
          <w:rtl/>
        </w:rPr>
        <w:t>.</w:t>
      </w:r>
    </w:p>
    <w:p w14:paraId="15C23342" w14:textId="37D0ACBF" w:rsidR="00215706" w:rsidRPr="00293903" w:rsidRDefault="00293903" w:rsidP="00293903">
      <w:pPr>
        <w:bidi w:val="0"/>
        <w:spacing w:line="360" w:lineRule="auto"/>
        <w:jc w:val="both"/>
        <w:rPr>
          <w:rFonts w:asciiTheme="majorHAnsi" w:hAnsiTheme="majorHAnsi" w:cstheme="majorHAnsi"/>
        </w:rPr>
      </w:pPr>
      <w:r w:rsidRPr="00293903">
        <w:rPr>
          <w:rFonts w:asciiTheme="majorHAnsi" w:hAnsiTheme="majorHAnsi" w:cstheme="majorHAnsi"/>
        </w:rPr>
        <w:t>In this paper, the allele frequency data, common forensic parameters for the 17 non-CODIS STR loci are presented. We examined whether the loci would exhibit excess of homozygosity in the data set.</w:t>
      </w:r>
    </w:p>
    <w:p w14:paraId="73CEAEAB" w14:textId="2A0B7CDF" w:rsidR="00C906E3" w:rsidRPr="00C906E3" w:rsidRDefault="00C906E3" w:rsidP="00215706">
      <w:pPr>
        <w:bidi w:val="0"/>
        <w:spacing w:line="360" w:lineRule="auto"/>
        <w:jc w:val="both"/>
        <w:rPr>
          <w:rFonts w:asciiTheme="majorHAnsi" w:hAnsiTheme="majorHAnsi" w:cstheme="majorHAnsi"/>
          <w:b/>
          <w:bCs/>
        </w:rPr>
      </w:pPr>
      <w:r w:rsidRPr="00C906E3">
        <w:rPr>
          <w:b/>
          <w:bCs/>
        </w:rPr>
        <w:t>Keywords</w:t>
      </w:r>
      <w:r w:rsidRPr="00C906E3">
        <w:rPr>
          <w:rFonts w:asciiTheme="majorHAnsi" w:hAnsiTheme="majorHAnsi" w:cstheme="majorHAnsi"/>
          <w:b/>
          <w:bCs/>
        </w:rPr>
        <w:t>:</w:t>
      </w:r>
    </w:p>
    <w:p w14:paraId="64EAEB15" w14:textId="4FE67F13" w:rsidR="00C906E3" w:rsidRPr="00C906E3" w:rsidRDefault="00C906E3" w:rsidP="00C906E3">
      <w:pPr>
        <w:bidi w:val="0"/>
        <w:spacing w:line="360" w:lineRule="auto"/>
        <w:jc w:val="both"/>
        <w:rPr>
          <w:rFonts w:asciiTheme="majorHAnsi" w:hAnsiTheme="majorHAnsi" w:cstheme="majorHAnsi"/>
        </w:rPr>
      </w:pPr>
      <w:r w:rsidRPr="00C906E3">
        <w:rPr>
          <w:rFonts w:asciiTheme="majorHAnsi" w:hAnsiTheme="majorHAnsi" w:cstheme="majorHAnsi"/>
        </w:rPr>
        <w:t>Kinship testing - Non-CODIS STRs – Saudi Arabia</w:t>
      </w:r>
    </w:p>
    <w:p w14:paraId="7216C774" w14:textId="228C1A03" w:rsidR="000E413E" w:rsidRPr="004D7C10" w:rsidRDefault="00E11272" w:rsidP="00C906E3">
      <w:pPr>
        <w:bidi w:val="0"/>
        <w:spacing w:line="360" w:lineRule="auto"/>
        <w:jc w:val="both"/>
        <w:rPr>
          <w:rFonts w:asciiTheme="majorHAnsi" w:hAnsiTheme="majorHAnsi" w:cstheme="majorHAnsi"/>
          <w:b/>
          <w:bCs/>
        </w:rPr>
      </w:pPr>
      <w:r w:rsidRPr="004D7C10">
        <w:rPr>
          <w:rFonts w:asciiTheme="majorHAnsi" w:hAnsiTheme="majorHAnsi" w:cstheme="majorHAnsi"/>
          <w:b/>
          <w:bCs/>
        </w:rPr>
        <w:t>Introduction</w:t>
      </w:r>
      <w:r w:rsidR="003B49F3" w:rsidRPr="004D7C10">
        <w:rPr>
          <w:rFonts w:asciiTheme="majorHAnsi" w:hAnsiTheme="majorHAnsi" w:cstheme="majorHAnsi"/>
          <w:b/>
          <w:bCs/>
        </w:rPr>
        <w:t>:</w:t>
      </w:r>
    </w:p>
    <w:p w14:paraId="40769242" w14:textId="639BDB2D" w:rsidR="000C37CC" w:rsidRDefault="000C37CC" w:rsidP="00567F6A">
      <w:pPr>
        <w:bidi w:val="0"/>
        <w:spacing w:line="360" w:lineRule="auto"/>
        <w:jc w:val="both"/>
        <w:rPr>
          <w:rFonts w:asciiTheme="majorHAnsi" w:hAnsiTheme="majorHAnsi" w:cstheme="majorHAnsi"/>
        </w:rPr>
      </w:pPr>
      <w:r w:rsidRPr="000C37CC">
        <w:rPr>
          <w:rFonts w:asciiTheme="majorHAnsi" w:hAnsiTheme="majorHAnsi" w:cstheme="majorHAnsi"/>
        </w:rPr>
        <w:t xml:space="preserve">The number of STR markers required for the CODIS and for the ESS are sufficient in most kinship cases; however, it is still possible to have inconclusive results in complex </w:t>
      </w:r>
      <w:r w:rsidR="00750818">
        <w:rPr>
          <w:rFonts w:asciiTheme="majorHAnsi" w:hAnsiTheme="majorHAnsi" w:cstheme="majorHAnsi"/>
        </w:rPr>
        <w:t xml:space="preserve">kinship </w:t>
      </w:r>
      <w:r w:rsidRPr="000C37CC">
        <w:rPr>
          <w:rFonts w:asciiTheme="majorHAnsi" w:hAnsiTheme="majorHAnsi" w:cstheme="majorHAnsi"/>
        </w:rPr>
        <w:t xml:space="preserve">cases. </w:t>
      </w:r>
      <w:r w:rsidR="00750818">
        <w:rPr>
          <w:rFonts w:asciiTheme="majorHAnsi" w:hAnsiTheme="majorHAnsi" w:cstheme="majorHAnsi"/>
        </w:rPr>
        <w:t>They</w:t>
      </w:r>
      <w:r w:rsidRPr="000C37CC">
        <w:rPr>
          <w:rFonts w:asciiTheme="majorHAnsi" w:hAnsiTheme="majorHAnsi" w:cstheme="majorHAnsi"/>
        </w:rPr>
        <w:t xml:space="preserve"> can be further complicated in case of deficient pedigrees</w:t>
      </w:r>
      <w:r w:rsidR="000D48BE">
        <w:rPr>
          <w:rFonts w:asciiTheme="majorHAnsi" w:hAnsiTheme="majorHAnsi" w:cstheme="majorHAnsi"/>
        </w:rPr>
        <w:t xml:space="preserve"> or</w:t>
      </w:r>
      <w:r w:rsidRPr="000C37CC">
        <w:rPr>
          <w:rFonts w:asciiTheme="majorHAnsi" w:hAnsiTheme="majorHAnsi" w:cstheme="majorHAnsi"/>
        </w:rPr>
        <w:t xml:space="preserve"> </w:t>
      </w:r>
      <w:r w:rsidR="000D48BE">
        <w:rPr>
          <w:rFonts w:asciiTheme="majorHAnsi" w:hAnsiTheme="majorHAnsi" w:cstheme="majorHAnsi"/>
        </w:rPr>
        <w:t xml:space="preserve">in case of </w:t>
      </w:r>
      <w:r w:rsidRPr="000C37CC">
        <w:rPr>
          <w:rFonts w:asciiTheme="majorHAnsi" w:hAnsiTheme="majorHAnsi" w:cstheme="majorHAnsi"/>
        </w:rPr>
        <w:t>testing distant relationship</w:t>
      </w:r>
      <w:r w:rsidR="00750818">
        <w:rPr>
          <w:rFonts w:asciiTheme="majorHAnsi" w:hAnsiTheme="majorHAnsi" w:cstheme="majorHAnsi"/>
        </w:rPr>
        <w:t>s</w:t>
      </w:r>
      <w:r w:rsidR="000D48BE">
        <w:rPr>
          <w:rFonts w:asciiTheme="majorHAnsi" w:hAnsiTheme="majorHAnsi" w:cstheme="majorHAnsi"/>
        </w:rPr>
        <w:t>.</w:t>
      </w:r>
      <w:r w:rsidRPr="000C37CC">
        <w:rPr>
          <w:rFonts w:asciiTheme="majorHAnsi" w:hAnsiTheme="majorHAnsi" w:cstheme="majorHAnsi"/>
        </w:rPr>
        <w:t xml:space="preserve"> In more complex kinship cases, the resolution of </w:t>
      </w:r>
      <w:r w:rsidR="00750818">
        <w:rPr>
          <w:rFonts w:asciiTheme="majorHAnsi" w:hAnsiTheme="majorHAnsi" w:cstheme="majorHAnsi"/>
        </w:rPr>
        <w:t>kinship</w:t>
      </w:r>
      <w:r w:rsidRPr="000C37CC">
        <w:rPr>
          <w:rFonts w:asciiTheme="majorHAnsi" w:hAnsiTheme="majorHAnsi" w:cstheme="majorHAnsi"/>
        </w:rPr>
        <w:t xml:space="preserve"> testing can be increased by testing additional STRs using complementary STR kit</w:t>
      </w:r>
      <w:r w:rsidR="00750818">
        <w:rPr>
          <w:rFonts w:asciiTheme="majorHAnsi" w:hAnsiTheme="majorHAnsi" w:cstheme="majorHAnsi"/>
        </w:rPr>
        <w:t>s.</w:t>
      </w:r>
    </w:p>
    <w:p w14:paraId="623EDDBD" w14:textId="52FD8065" w:rsidR="00726E9F" w:rsidRPr="000C37CC" w:rsidRDefault="000D48BE" w:rsidP="000D48BE">
      <w:pPr>
        <w:bidi w:val="0"/>
        <w:spacing w:line="360" w:lineRule="auto"/>
        <w:jc w:val="both"/>
        <w:rPr>
          <w:rFonts w:asciiTheme="majorHAnsi" w:hAnsiTheme="majorHAnsi" w:cstheme="majorHAnsi"/>
        </w:rPr>
      </w:pPr>
      <w:bookmarkStart w:id="1" w:name="_Hlk114233398"/>
      <w:r w:rsidRPr="000D48BE">
        <w:rPr>
          <w:rFonts w:asciiTheme="majorHAnsi" w:hAnsiTheme="majorHAnsi" w:cstheme="majorHAnsi"/>
        </w:rPr>
        <w:t>Consanguineous marriage</w:t>
      </w:r>
      <w:bookmarkEnd w:id="1"/>
      <w:r>
        <w:rPr>
          <w:rFonts w:asciiTheme="majorHAnsi" w:hAnsiTheme="majorHAnsi" w:cstheme="majorHAnsi"/>
        </w:rPr>
        <w:t>, which is more common in Saudi Arabia,</w:t>
      </w:r>
      <w:r w:rsidRPr="000D48BE">
        <w:rPr>
          <w:rFonts w:asciiTheme="majorHAnsi" w:hAnsiTheme="majorHAnsi" w:cstheme="majorHAnsi"/>
        </w:rPr>
        <w:t xml:space="preserve"> </w:t>
      </w:r>
      <w:r w:rsidR="001723C1">
        <w:rPr>
          <w:rFonts w:asciiTheme="majorHAnsi" w:hAnsiTheme="majorHAnsi" w:cstheme="majorHAnsi"/>
        </w:rPr>
        <w:t>can</w:t>
      </w:r>
      <w:r>
        <w:rPr>
          <w:rFonts w:asciiTheme="majorHAnsi" w:hAnsiTheme="majorHAnsi" w:cstheme="majorHAnsi"/>
        </w:rPr>
        <w:t xml:space="preserve"> make kinship testing more challenging.</w:t>
      </w:r>
      <w:r w:rsidR="00726E9F">
        <w:rPr>
          <w:rFonts w:asciiTheme="majorHAnsi" w:hAnsiTheme="majorHAnsi" w:cstheme="majorHAnsi"/>
        </w:rPr>
        <w:t xml:space="preserve"> </w:t>
      </w:r>
      <w:r w:rsidR="00726E9F" w:rsidRPr="00726E9F">
        <w:rPr>
          <w:rFonts w:asciiTheme="majorHAnsi" w:hAnsiTheme="majorHAnsi" w:cstheme="majorHAnsi"/>
        </w:rPr>
        <w:t xml:space="preserve">Previous studies conducted by </w:t>
      </w:r>
      <w:bookmarkStart w:id="2" w:name="_Hlk114233929"/>
      <w:r w:rsidR="00726E9F" w:rsidRPr="00726E9F">
        <w:rPr>
          <w:rFonts w:asciiTheme="majorHAnsi" w:hAnsiTheme="majorHAnsi" w:cstheme="majorHAnsi"/>
        </w:rPr>
        <w:t>questionnaires</w:t>
      </w:r>
      <w:bookmarkEnd w:id="2"/>
      <w:r w:rsidR="00726E9F" w:rsidRPr="00726E9F">
        <w:rPr>
          <w:rFonts w:asciiTheme="majorHAnsi" w:hAnsiTheme="majorHAnsi" w:cstheme="majorHAnsi"/>
        </w:rPr>
        <w:t xml:space="preserve"> </w:t>
      </w:r>
      <w:r w:rsidR="005D7148" w:rsidRPr="00726E9F">
        <w:rPr>
          <w:rFonts w:asciiTheme="majorHAnsi" w:hAnsiTheme="majorHAnsi" w:cstheme="majorHAnsi"/>
        </w:rPr>
        <w:t>(</w:t>
      </w:r>
      <w:r w:rsidR="005D7148">
        <w:rPr>
          <w:rFonts w:asciiTheme="majorHAnsi" w:hAnsiTheme="majorHAnsi" w:cstheme="majorHAnsi"/>
        </w:rPr>
        <w:t xml:space="preserve">for example </w:t>
      </w:r>
      <w:r w:rsidR="000B7038">
        <w:rPr>
          <w:rFonts w:asciiTheme="majorHAnsi" w:hAnsiTheme="majorHAnsi" w:cstheme="majorHAnsi"/>
        </w:rPr>
        <w:t>[1]</w:t>
      </w:r>
      <w:r w:rsidR="005D7148" w:rsidRPr="00726E9F">
        <w:rPr>
          <w:rFonts w:asciiTheme="majorHAnsi" w:hAnsiTheme="majorHAnsi" w:cstheme="majorHAnsi"/>
        </w:rPr>
        <w:t xml:space="preserve">) </w:t>
      </w:r>
      <w:r w:rsidR="00726E9F" w:rsidRPr="00726E9F">
        <w:rPr>
          <w:rFonts w:asciiTheme="majorHAnsi" w:hAnsiTheme="majorHAnsi" w:cstheme="majorHAnsi"/>
        </w:rPr>
        <w:t>on 3212 families found that the percentages of consanguinity were 56.8%</w:t>
      </w:r>
      <w:r w:rsidR="005D7148">
        <w:rPr>
          <w:rFonts w:asciiTheme="majorHAnsi" w:hAnsiTheme="majorHAnsi" w:cstheme="majorHAnsi"/>
        </w:rPr>
        <w:t xml:space="preserve">. In addition, </w:t>
      </w:r>
      <w:r w:rsidR="005D7148" w:rsidRPr="005D7148">
        <w:rPr>
          <w:rFonts w:asciiTheme="majorHAnsi" w:hAnsiTheme="majorHAnsi" w:cstheme="majorHAnsi"/>
        </w:rPr>
        <w:t xml:space="preserve">Khubrani </w:t>
      </w:r>
      <w:r w:rsidR="005D7148" w:rsidRPr="005D7148">
        <w:rPr>
          <w:rFonts w:asciiTheme="majorHAnsi" w:hAnsiTheme="majorHAnsi" w:cstheme="majorHAnsi"/>
          <w:i/>
          <w:iCs/>
        </w:rPr>
        <w:t>et al.</w:t>
      </w:r>
      <w:r w:rsidR="005D7148" w:rsidRPr="005D7148">
        <w:rPr>
          <w:rFonts w:asciiTheme="majorHAnsi" w:hAnsiTheme="majorHAnsi" w:cstheme="majorHAnsi"/>
        </w:rPr>
        <w:t xml:space="preserve"> </w:t>
      </w:r>
      <w:r w:rsidR="000B7038">
        <w:rPr>
          <w:rFonts w:asciiTheme="majorHAnsi" w:hAnsiTheme="majorHAnsi" w:cstheme="majorHAnsi"/>
        </w:rPr>
        <w:t xml:space="preserve">[2] </w:t>
      </w:r>
      <w:r w:rsidR="005D7148" w:rsidRPr="005D7148">
        <w:rPr>
          <w:rFonts w:asciiTheme="majorHAnsi" w:hAnsiTheme="majorHAnsi" w:cstheme="majorHAnsi"/>
        </w:rPr>
        <w:t xml:space="preserve">studied 523 male samples </w:t>
      </w:r>
      <w:r w:rsidR="005D7148" w:rsidRPr="005D7148">
        <w:rPr>
          <w:rFonts w:asciiTheme="majorHAnsi" w:hAnsiTheme="majorHAnsi" w:cstheme="majorHAnsi"/>
        </w:rPr>
        <w:lastRenderedPageBreak/>
        <w:t xml:space="preserve">from the population of Saudi Arabia using the </w:t>
      </w:r>
      <w:bookmarkStart w:id="3" w:name="_Hlk114236066"/>
      <w:r w:rsidR="005D7148" w:rsidRPr="005D7148">
        <w:rPr>
          <w:rFonts w:asciiTheme="majorHAnsi" w:hAnsiTheme="majorHAnsi" w:cstheme="majorHAnsi"/>
        </w:rPr>
        <w:t xml:space="preserve">GlobalFiler kit </w:t>
      </w:r>
      <w:bookmarkEnd w:id="3"/>
      <w:r w:rsidR="005D7148">
        <w:rPr>
          <w:rFonts w:asciiTheme="majorHAnsi" w:hAnsiTheme="majorHAnsi" w:cstheme="majorHAnsi"/>
        </w:rPr>
        <w:t>and</w:t>
      </w:r>
      <w:r w:rsidR="005D7148" w:rsidRPr="005D7148">
        <w:rPr>
          <w:rFonts w:asciiTheme="majorHAnsi" w:hAnsiTheme="majorHAnsi" w:cstheme="majorHAnsi"/>
        </w:rPr>
        <w:t xml:space="preserve"> highlighted excess of homozygosity in 20/21 </w:t>
      </w:r>
      <w:r w:rsidR="009366AE">
        <w:rPr>
          <w:rFonts w:asciiTheme="majorHAnsi" w:hAnsiTheme="majorHAnsi" w:cstheme="majorHAnsi"/>
        </w:rPr>
        <w:t>autosomal STRs (</w:t>
      </w:r>
      <w:r w:rsidR="005D7148" w:rsidRPr="005D7148">
        <w:rPr>
          <w:rFonts w:asciiTheme="majorHAnsi" w:hAnsiTheme="majorHAnsi" w:cstheme="majorHAnsi"/>
        </w:rPr>
        <w:t>aSTRs</w:t>
      </w:r>
      <w:r w:rsidR="009366AE">
        <w:rPr>
          <w:rFonts w:asciiTheme="majorHAnsi" w:hAnsiTheme="majorHAnsi" w:cstheme="majorHAnsi"/>
        </w:rPr>
        <w:t>)</w:t>
      </w:r>
      <w:r w:rsidR="005D7148">
        <w:rPr>
          <w:rFonts w:asciiTheme="majorHAnsi" w:hAnsiTheme="majorHAnsi" w:cstheme="majorHAnsi"/>
        </w:rPr>
        <w:t xml:space="preserve">. This </w:t>
      </w:r>
      <w:r w:rsidR="00C36FB8">
        <w:rPr>
          <w:rFonts w:asciiTheme="majorHAnsi" w:hAnsiTheme="majorHAnsi" w:cstheme="majorHAnsi"/>
        </w:rPr>
        <w:t xml:space="preserve">study estimated the </w:t>
      </w:r>
      <w:r w:rsidR="00C36FB8" w:rsidRPr="005D7148">
        <w:rPr>
          <w:rFonts w:asciiTheme="majorHAnsi" w:hAnsiTheme="majorHAnsi" w:cstheme="majorHAnsi"/>
        </w:rPr>
        <w:t>inbreeding coefficient</w:t>
      </w:r>
      <w:r w:rsidR="00C36FB8">
        <w:rPr>
          <w:rFonts w:asciiTheme="majorHAnsi" w:hAnsiTheme="majorHAnsi" w:cstheme="majorHAnsi"/>
        </w:rPr>
        <w:t xml:space="preserve"> </w:t>
      </w:r>
      <w:r w:rsidR="00C36FB8" w:rsidRPr="005D7148">
        <w:rPr>
          <w:rFonts w:asciiTheme="majorHAnsi" w:hAnsiTheme="majorHAnsi" w:cstheme="majorHAnsi"/>
        </w:rPr>
        <w:t>(F</w:t>
      </w:r>
      <w:r w:rsidR="00C36FB8" w:rsidRPr="005D7148">
        <w:rPr>
          <w:rFonts w:asciiTheme="majorHAnsi" w:hAnsiTheme="majorHAnsi" w:cstheme="majorHAnsi"/>
          <w:vertAlign w:val="subscript"/>
        </w:rPr>
        <w:t>IS</w:t>
      </w:r>
      <w:r w:rsidR="00C36FB8" w:rsidRPr="005D7148">
        <w:rPr>
          <w:rFonts w:asciiTheme="majorHAnsi" w:hAnsiTheme="majorHAnsi" w:cstheme="majorHAnsi"/>
        </w:rPr>
        <w:t xml:space="preserve">) </w:t>
      </w:r>
      <w:r w:rsidR="00C36FB8">
        <w:rPr>
          <w:rFonts w:asciiTheme="majorHAnsi" w:hAnsiTheme="majorHAnsi" w:cstheme="majorHAnsi"/>
        </w:rPr>
        <w:t>in Saudi Arabia by</w:t>
      </w:r>
      <w:r w:rsidR="005D7148">
        <w:rPr>
          <w:rFonts w:asciiTheme="majorHAnsi" w:hAnsiTheme="majorHAnsi" w:cstheme="majorHAnsi"/>
        </w:rPr>
        <w:t xml:space="preserve"> </w:t>
      </w:r>
      <w:r w:rsidR="005D7148" w:rsidRPr="005D7148">
        <w:rPr>
          <w:rFonts w:asciiTheme="majorHAnsi" w:hAnsiTheme="majorHAnsi" w:cstheme="majorHAnsi"/>
        </w:rPr>
        <w:t xml:space="preserve">0.0476, suggesting </w:t>
      </w:r>
      <w:r w:rsidR="00C36FB8">
        <w:rPr>
          <w:rFonts w:asciiTheme="majorHAnsi" w:hAnsiTheme="majorHAnsi" w:cstheme="majorHAnsi"/>
        </w:rPr>
        <w:t>higher level of consanguinity</w:t>
      </w:r>
      <w:r w:rsidR="005D7148" w:rsidRPr="005D7148">
        <w:rPr>
          <w:rFonts w:asciiTheme="majorHAnsi" w:hAnsiTheme="majorHAnsi" w:cstheme="majorHAnsi"/>
        </w:rPr>
        <w:t>.</w:t>
      </w:r>
    </w:p>
    <w:p w14:paraId="1FD5B5C3" w14:textId="77777777" w:rsidR="000C37CC" w:rsidRPr="000C37CC" w:rsidRDefault="000C37CC" w:rsidP="00567F6A">
      <w:pPr>
        <w:bidi w:val="0"/>
        <w:spacing w:line="360" w:lineRule="auto"/>
        <w:jc w:val="both"/>
        <w:rPr>
          <w:rFonts w:asciiTheme="majorHAnsi" w:hAnsiTheme="majorHAnsi" w:cstheme="majorHAnsi"/>
        </w:rPr>
      </w:pPr>
      <w:r w:rsidRPr="000C37CC">
        <w:rPr>
          <w:rFonts w:asciiTheme="majorHAnsi" w:hAnsiTheme="majorHAnsi" w:cstheme="majorHAnsi"/>
        </w:rPr>
        <w:t>SureID® 23 comp Human Identification kit (Health Gene Technologies, China), multiplexes 17 non-CODIS STRs (D3S1744, D4S2366, D5S2800, D6S474, D7S3048, D8S1132, D9S1122, D11S2368, D13S325, D14S1434, D15S659, D17S1301, D18S1346, D19S253, D20S482, D21S2055, and D22GATA198B05) and D1S1656, D2S441, D10S1248, D12S391, D16S539. Twelve out of the 17 non-CODIS STRs are not included in other available supplementary kits, such as PowerPlex® CS7 System (Promega Corporation) and Investigator® HDplex Kit (Qiagen)</w:t>
      </w:r>
      <w:r w:rsidRPr="000C37CC">
        <w:rPr>
          <w:rFonts w:asciiTheme="majorHAnsi" w:hAnsiTheme="majorHAnsi" w:cstheme="majorHAnsi"/>
          <w:rtl/>
        </w:rPr>
        <w:t>.</w:t>
      </w:r>
    </w:p>
    <w:p w14:paraId="64AAADC3" w14:textId="723F243A" w:rsidR="000C37CC" w:rsidRPr="000C37CC" w:rsidRDefault="000C37CC" w:rsidP="00567F6A">
      <w:pPr>
        <w:bidi w:val="0"/>
        <w:spacing w:line="360" w:lineRule="auto"/>
        <w:jc w:val="both"/>
        <w:rPr>
          <w:rFonts w:asciiTheme="majorHAnsi" w:hAnsiTheme="majorHAnsi" w:cstheme="majorHAnsi"/>
        </w:rPr>
      </w:pPr>
      <w:r w:rsidRPr="000C37CC">
        <w:rPr>
          <w:rFonts w:asciiTheme="majorHAnsi" w:hAnsiTheme="majorHAnsi" w:cstheme="majorHAnsi"/>
        </w:rPr>
        <w:t xml:space="preserve">The kit has been internally validated following the minimum criteria for validation recommended by the ENFSI and by the SWGDAM in </w:t>
      </w:r>
      <w:r w:rsidR="001E350A">
        <w:rPr>
          <w:rFonts w:asciiTheme="majorHAnsi" w:hAnsiTheme="majorHAnsi" w:cstheme="majorHAnsi"/>
        </w:rPr>
        <w:t>[</w:t>
      </w:r>
      <w:r w:rsidR="006917D1">
        <w:rPr>
          <w:rFonts w:asciiTheme="majorHAnsi" w:hAnsiTheme="majorHAnsi" w:cstheme="majorHAnsi"/>
        </w:rPr>
        <w:t>3</w:t>
      </w:r>
      <w:r w:rsidR="001E350A">
        <w:rPr>
          <w:rFonts w:asciiTheme="majorHAnsi" w:hAnsiTheme="majorHAnsi" w:cstheme="majorHAnsi"/>
        </w:rPr>
        <w:t>]</w:t>
      </w:r>
      <w:r w:rsidRPr="000C37CC">
        <w:rPr>
          <w:rFonts w:asciiTheme="majorHAnsi" w:hAnsiTheme="majorHAnsi" w:cstheme="majorHAnsi"/>
        </w:rPr>
        <w:t xml:space="preserve"> </w:t>
      </w:r>
      <w:bookmarkStart w:id="4" w:name="_Hlk114233037"/>
      <w:r w:rsidRPr="000C37CC">
        <w:rPr>
          <w:rFonts w:asciiTheme="majorHAnsi" w:hAnsiTheme="majorHAnsi" w:cstheme="majorHAnsi"/>
        </w:rPr>
        <w:t xml:space="preserve">and has met the criteria commonly used in forensic genetics laboratories which showed that the kit has the potential to increase the level of confidence in conclusions in complex </w:t>
      </w:r>
      <w:r w:rsidR="00750818">
        <w:rPr>
          <w:rFonts w:asciiTheme="majorHAnsi" w:hAnsiTheme="majorHAnsi" w:cstheme="majorHAnsi"/>
        </w:rPr>
        <w:t>cases</w:t>
      </w:r>
      <w:r w:rsidRPr="000C37CC">
        <w:rPr>
          <w:rFonts w:asciiTheme="majorHAnsi" w:hAnsiTheme="majorHAnsi" w:cstheme="majorHAnsi"/>
          <w:rtl/>
        </w:rPr>
        <w:t>.</w:t>
      </w:r>
    </w:p>
    <w:bookmarkEnd w:id="4"/>
    <w:p w14:paraId="02E69F63" w14:textId="275DBFE0" w:rsidR="007A2EBC" w:rsidRDefault="000C37CC" w:rsidP="00716486">
      <w:pPr>
        <w:bidi w:val="0"/>
        <w:spacing w:line="360" w:lineRule="auto"/>
        <w:jc w:val="both"/>
        <w:rPr>
          <w:rFonts w:asciiTheme="majorHAnsi" w:hAnsiTheme="majorHAnsi" w:cstheme="majorHAnsi"/>
        </w:rPr>
      </w:pPr>
      <w:r w:rsidRPr="00C36FB8">
        <w:rPr>
          <w:rFonts w:asciiTheme="majorHAnsi" w:hAnsiTheme="majorHAnsi" w:cstheme="majorHAnsi"/>
        </w:rPr>
        <w:t xml:space="preserve">Here, the allele frequency data for the 17 non-CODIS loci generated using the 500 samples from the population of Saudi Arabia is presented and the commonly forensic statistical parameters were assessed for the population of Saudi Arabia. In addition, </w:t>
      </w:r>
      <w:r w:rsidR="007A2EBC">
        <w:rPr>
          <w:rFonts w:asciiTheme="majorHAnsi" w:hAnsiTheme="majorHAnsi" w:cstheme="majorHAnsi"/>
        </w:rPr>
        <w:t xml:space="preserve">we asked </w:t>
      </w:r>
      <w:r w:rsidR="007A2EBC" w:rsidRPr="007A2EBC">
        <w:rPr>
          <w:rFonts w:asciiTheme="majorHAnsi" w:hAnsiTheme="majorHAnsi" w:cstheme="majorHAnsi"/>
        </w:rPr>
        <w:t xml:space="preserve">whether </w:t>
      </w:r>
      <w:r w:rsidR="007A2EBC" w:rsidRPr="00C36FB8">
        <w:rPr>
          <w:rFonts w:asciiTheme="majorHAnsi" w:hAnsiTheme="majorHAnsi" w:cstheme="majorHAnsi"/>
        </w:rPr>
        <w:t>the 17 non-CODIS loci</w:t>
      </w:r>
      <w:r w:rsidR="007A2EBC" w:rsidRPr="007A2EBC">
        <w:rPr>
          <w:rFonts w:asciiTheme="majorHAnsi" w:hAnsiTheme="majorHAnsi" w:cstheme="majorHAnsi"/>
        </w:rPr>
        <w:t xml:space="preserve"> </w:t>
      </w:r>
      <w:r w:rsidR="00F23652" w:rsidRPr="00F23652">
        <w:rPr>
          <w:rFonts w:asciiTheme="majorHAnsi" w:hAnsiTheme="majorHAnsi" w:cstheme="majorHAnsi"/>
        </w:rPr>
        <w:t xml:space="preserve">imitate </w:t>
      </w:r>
      <w:r w:rsidR="007A2EBC" w:rsidRPr="007A2EBC">
        <w:rPr>
          <w:rFonts w:asciiTheme="majorHAnsi" w:hAnsiTheme="majorHAnsi" w:cstheme="majorHAnsi"/>
        </w:rPr>
        <w:t xml:space="preserve">the </w:t>
      </w:r>
      <w:r w:rsidR="00F23652">
        <w:rPr>
          <w:rFonts w:asciiTheme="majorHAnsi" w:hAnsiTheme="majorHAnsi" w:cstheme="majorHAnsi"/>
        </w:rPr>
        <w:t xml:space="preserve">elevated level of homozygosity </w:t>
      </w:r>
      <w:r w:rsidR="00716486">
        <w:rPr>
          <w:rFonts w:asciiTheme="majorHAnsi" w:hAnsiTheme="majorHAnsi" w:cstheme="majorHAnsi"/>
        </w:rPr>
        <w:t xml:space="preserve">observed in other common aSTRs. </w:t>
      </w:r>
    </w:p>
    <w:p w14:paraId="4F63E6B3" w14:textId="07E206B4" w:rsidR="000C37CC" w:rsidRPr="004D7C10" w:rsidRDefault="000C37CC" w:rsidP="00716486">
      <w:pPr>
        <w:bidi w:val="0"/>
        <w:jc w:val="both"/>
        <w:rPr>
          <w:rFonts w:asciiTheme="majorHAnsi" w:hAnsiTheme="majorHAnsi" w:cstheme="majorHAnsi"/>
          <w:b/>
          <w:bCs/>
        </w:rPr>
      </w:pPr>
      <w:r w:rsidRPr="004D7C10">
        <w:rPr>
          <w:rFonts w:asciiTheme="majorHAnsi" w:hAnsiTheme="majorHAnsi" w:cstheme="majorHAnsi"/>
          <w:b/>
          <w:bCs/>
        </w:rPr>
        <w:t>Materials and Methods:</w:t>
      </w:r>
    </w:p>
    <w:p w14:paraId="3C4BF20F" w14:textId="643C8769" w:rsidR="000C37CC" w:rsidRPr="000C37CC" w:rsidRDefault="00C36B8B" w:rsidP="00567F6A">
      <w:pPr>
        <w:bidi w:val="0"/>
        <w:spacing w:line="360" w:lineRule="auto"/>
        <w:jc w:val="both"/>
        <w:rPr>
          <w:rFonts w:asciiTheme="majorHAnsi" w:hAnsiTheme="majorHAnsi" w:cstheme="majorHAnsi"/>
        </w:rPr>
      </w:pPr>
      <w:r>
        <w:rPr>
          <w:rFonts w:asciiTheme="majorHAnsi" w:hAnsiTheme="majorHAnsi" w:cstheme="majorHAnsi"/>
        </w:rPr>
        <w:t>F</w:t>
      </w:r>
      <w:r w:rsidR="000C37CC" w:rsidRPr="000C37CC">
        <w:rPr>
          <w:rFonts w:asciiTheme="majorHAnsi" w:hAnsiTheme="majorHAnsi" w:cstheme="majorHAnsi"/>
        </w:rPr>
        <w:t>ive-hundred blood samples from the population of Saudi Arabia was used in the study. The extraction</w:t>
      </w:r>
      <w:r w:rsidR="00CF2F78">
        <w:rPr>
          <w:rFonts w:asciiTheme="majorHAnsi" w:hAnsiTheme="majorHAnsi" w:cstheme="majorHAnsi"/>
        </w:rPr>
        <w:t xml:space="preserve">, </w:t>
      </w:r>
      <w:r w:rsidR="000C37CC" w:rsidRPr="000C37CC">
        <w:rPr>
          <w:rFonts w:asciiTheme="majorHAnsi" w:hAnsiTheme="majorHAnsi" w:cstheme="majorHAnsi"/>
        </w:rPr>
        <w:t xml:space="preserve">quantification procedures are </w:t>
      </w:r>
      <w:r w:rsidR="000C37CC" w:rsidRPr="00540808">
        <w:rPr>
          <w:rFonts w:asciiTheme="majorHAnsi" w:hAnsiTheme="majorHAnsi" w:cstheme="majorHAnsi"/>
        </w:rPr>
        <w:t xml:space="preserve">fully described in </w:t>
      </w:r>
      <w:r w:rsidR="005F688F" w:rsidRPr="00540808">
        <w:rPr>
          <w:rFonts w:asciiTheme="majorHAnsi" w:hAnsiTheme="majorHAnsi" w:cstheme="majorHAnsi"/>
        </w:rPr>
        <w:t>[</w:t>
      </w:r>
      <w:r w:rsidR="006917D1">
        <w:rPr>
          <w:rFonts w:asciiTheme="majorHAnsi" w:hAnsiTheme="majorHAnsi" w:cstheme="majorHAnsi"/>
        </w:rPr>
        <w:t>4</w:t>
      </w:r>
      <w:r w:rsidR="00F170F5" w:rsidRPr="00540808">
        <w:rPr>
          <w:rFonts w:asciiTheme="majorHAnsi" w:hAnsiTheme="majorHAnsi" w:cstheme="majorHAnsi"/>
        </w:rPr>
        <w:t>]</w:t>
      </w:r>
      <w:r w:rsidR="00F170F5">
        <w:rPr>
          <w:rFonts w:asciiTheme="majorHAnsi" w:hAnsiTheme="majorHAnsi" w:cstheme="majorHAnsi"/>
        </w:rPr>
        <w:t>, amplification</w:t>
      </w:r>
      <w:r w:rsidR="00712485">
        <w:rPr>
          <w:rFonts w:asciiTheme="majorHAnsi" w:hAnsiTheme="majorHAnsi" w:cstheme="majorHAnsi"/>
        </w:rPr>
        <w:t xml:space="preserve"> and analysis </w:t>
      </w:r>
      <w:r w:rsidR="000C37CC" w:rsidRPr="00540808">
        <w:rPr>
          <w:rFonts w:asciiTheme="majorHAnsi" w:hAnsiTheme="majorHAnsi" w:cstheme="majorHAnsi"/>
        </w:rPr>
        <w:t xml:space="preserve">in </w:t>
      </w:r>
      <w:r w:rsidR="001E350A" w:rsidRPr="00540808">
        <w:rPr>
          <w:rFonts w:asciiTheme="majorHAnsi" w:hAnsiTheme="majorHAnsi" w:cstheme="majorHAnsi"/>
        </w:rPr>
        <w:t>[</w:t>
      </w:r>
      <w:r w:rsidR="006917D1">
        <w:rPr>
          <w:rFonts w:asciiTheme="majorHAnsi" w:hAnsiTheme="majorHAnsi" w:cstheme="majorHAnsi"/>
        </w:rPr>
        <w:t>3</w:t>
      </w:r>
      <w:r w:rsidR="001E350A" w:rsidRPr="00540808">
        <w:rPr>
          <w:rFonts w:asciiTheme="majorHAnsi" w:hAnsiTheme="majorHAnsi" w:cstheme="majorHAnsi"/>
        </w:rPr>
        <w:t>]</w:t>
      </w:r>
      <w:r w:rsidR="000C37CC" w:rsidRPr="000C37CC">
        <w:rPr>
          <w:rFonts w:asciiTheme="majorHAnsi" w:hAnsiTheme="majorHAnsi" w:cstheme="majorHAnsi"/>
          <w:rtl/>
        </w:rPr>
        <w:t xml:space="preserve"> </w:t>
      </w:r>
    </w:p>
    <w:p w14:paraId="55CC3BA8" w14:textId="4E8EB301" w:rsidR="00180358" w:rsidRPr="00180358" w:rsidRDefault="00540808" w:rsidP="00567F6A">
      <w:pPr>
        <w:bidi w:val="0"/>
        <w:spacing w:line="360" w:lineRule="auto"/>
        <w:jc w:val="both"/>
        <w:rPr>
          <w:rFonts w:asciiTheme="majorHAnsi" w:hAnsiTheme="majorHAnsi" w:cstheme="majorHAnsi"/>
        </w:rPr>
      </w:pPr>
      <w:r w:rsidRPr="00540808">
        <w:rPr>
          <w:rFonts w:asciiTheme="majorHAnsi" w:hAnsiTheme="majorHAnsi" w:cstheme="majorHAnsi"/>
        </w:rPr>
        <w:t xml:space="preserve">The </w:t>
      </w:r>
      <w:bookmarkStart w:id="5" w:name="_Hlk114233727"/>
      <w:r w:rsidRPr="00540808">
        <w:rPr>
          <w:rFonts w:asciiTheme="majorHAnsi" w:hAnsiTheme="majorHAnsi" w:cstheme="majorHAnsi"/>
        </w:rPr>
        <w:t xml:space="preserve">forensic parameters </w:t>
      </w:r>
      <w:bookmarkEnd w:id="5"/>
      <w:r w:rsidR="00180358" w:rsidRPr="00180358">
        <w:rPr>
          <w:rFonts w:asciiTheme="majorHAnsi" w:hAnsiTheme="majorHAnsi" w:cstheme="majorHAnsi"/>
        </w:rPr>
        <w:t xml:space="preserve">were calculated using </w:t>
      </w:r>
      <w:bookmarkStart w:id="6" w:name="_Hlk113979170"/>
      <w:proofErr w:type="spellStart"/>
      <w:r w:rsidR="00180358" w:rsidRPr="00180358">
        <w:rPr>
          <w:rFonts w:asciiTheme="majorHAnsi" w:hAnsiTheme="majorHAnsi" w:cstheme="majorHAnsi"/>
        </w:rPr>
        <w:t>PowerStat</w:t>
      </w:r>
      <w:proofErr w:type="spellEnd"/>
      <w:r w:rsidR="00180358" w:rsidRPr="00180358">
        <w:rPr>
          <w:rFonts w:asciiTheme="majorHAnsi" w:hAnsiTheme="majorHAnsi" w:cstheme="majorHAnsi"/>
        </w:rPr>
        <w:t xml:space="preserve"> v 1.2 (Promega </w:t>
      </w:r>
      <w:proofErr w:type="spellStart"/>
      <w:r w:rsidR="00180358" w:rsidRPr="00180358">
        <w:rPr>
          <w:rFonts w:asciiTheme="majorHAnsi" w:hAnsiTheme="majorHAnsi" w:cstheme="majorHAnsi"/>
        </w:rPr>
        <w:t>Promega</w:t>
      </w:r>
      <w:proofErr w:type="spellEnd"/>
      <w:r w:rsidR="00180358" w:rsidRPr="00180358">
        <w:rPr>
          <w:rFonts w:asciiTheme="majorHAnsi" w:hAnsiTheme="majorHAnsi" w:cstheme="majorHAnsi"/>
        </w:rPr>
        <w:t xml:space="preserve"> Corporation)</w:t>
      </w:r>
      <w:bookmarkEnd w:id="6"/>
      <w:r w:rsidR="00180358" w:rsidRPr="00180358">
        <w:rPr>
          <w:rFonts w:asciiTheme="majorHAnsi" w:hAnsiTheme="majorHAnsi" w:cstheme="majorHAnsi"/>
        </w:rPr>
        <w:t xml:space="preserve">. </w:t>
      </w:r>
      <w:r w:rsidR="0034552A" w:rsidRPr="00180358">
        <w:rPr>
          <w:rFonts w:asciiTheme="majorHAnsi" w:hAnsiTheme="majorHAnsi" w:cstheme="majorHAnsi"/>
        </w:rPr>
        <w:t xml:space="preserve">Arlequin v3.5.2 Software </w:t>
      </w:r>
      <w:r w:rsidR="0034552A">
        <w:rPr>
          <w:rFonts w:asciiTheme="majorHAnsi" w:hAnsiTheme="majorHAnsi" w:cstheme="majorHAnsi"/>
        </w:rPr>
        <w:t>was used to calculate t</w:t>
      </w:r>
      <w:r w:rsidR="00180358" w:rsidRPr="00180358">
        <w:rPr>
          <w:rFonts w:asciiTheme="majorHAnsi" w:hAnsiTheme="majorHAnsi" w:cstheme="majorHAnsi"/>
        </w:rPr>
        <w:t>he expected heterozygosity (He</w:t>
      </w:r>
      <w:r w:rsidR="00B04B57" w:rsidRPr="00180358">
        <w:rPr>
          <w:rFonts w:asciiTheme="majorHAnsi" w:hAnsiTheme="majorHAnsi" w:cstheme="majorHAnsi"/>
        </w:rPr>
        <w:t>)</w:t>
      </w:r>
      <w:r w:rsidR="00B04B57">
        <w:rPr>
          <w:rFonts w:asciiTheme="majorHAnsi" w:hAnsiTheme="majorHAnsi" w:cstheme="majorHAnsi"/>
        </w:rPr>
        <w:t>, to</w:t>
      </w:r>
      <w:r w:rsidR="0034552A">
        <w:rPr>
          <w:rFonts w:asciiTheme="majorHAnsi" w:hAnsiTheme="majorHAnsi" w:cstheme="majorHAnsi"/>
        </w:rPr>
        <w:t xml:space="preserve"> carry out </w:t>
      </w:r>
      <w:r w:rsidR="00180358" w:rsidRPr="00180358">
        <w:rPr>
          <w:rFonts w:asciiTheme="majorHAnsi" w:hAnsiTheme="majorHAnsi" w:cstheme="majorHAnsi"/>
        </w:rPr>
        <w:t xml:space="preserve">the </w:t>
      </w:r>
      <w:bookmarkStart w:id="7" w:name="_Hlk113979282"/>
      <w:r w:rsidR="00180358" w:rsidRPr="00180358">
        <w:rPr>
          <w:rFonts w:asciiTheme="majorHAnsi" w:hAnsiTheme="majorHAnsi" w:cstheme="majorHAnsi"/>
        </w:rPr>
        <w:t>exact test for detecting deviation from the Hardy-Weinberg equilibrium (HWE)</w:t>
      </w:r>
      <w:bookmarkEnd w:id="7"/>
      <w:r w:rsidR="00261D98">
        <w:rPr>
          <w:rFonts w:asciiTheme="majorHAnsi" w:hAnsiTheme="majorHAnsi" w:cstheme="majorHAnsi"/>
        </w:rPr>
        <w:t xml:space="preserve"> and </w:t>
      </w:r>
      <w:r w:rsidR="00B04B57">
        <w:rPr>
          <w:rFonts w:asciiTheme="majorHAnsi" w:hAnsiTheme="majorHAnsi" w:cstheme="majorHAnsi"/>
        </w:rPr>
        <w:t xml:space="preserve">to </w:t>
      </w:r>
      <w:r w:rsidR="0034552A" w:rsidRPr="0034552A">
        <w:rPr>
          <w:rFonts w:asciiTheme="majorHAnsi" w:hAnsiTheme="majorHAnsi" w:cstheme="majorHAnsi"/>
        </w:rPr>
        <w:t>estimate the average F</w:t>
      </w:r>
      <w:r w:rsidR="0034552A" w:rsidRPr="0034552A">
        <w:rPr>
          <w:rFonts w:asciiTheme="majorHAnsi" w:hAnsiTheme="majorHAnsi" w:cstheme="majorHAnsi"/>
          <w:vertAlign w:val="subscript"/>
        </w:rPr>
        <w:t>IS</w:t>
      </w:r>
      <w:r w:rsidR="0034552A" w:rsidRPr="0034552A">
        <w:rPr>
          <w:rFonts w:asciiTheme="majorHAnsi" w:hAnsiTheme="majorHAnsi" w:cstheme="majorHAnsi"/>
        </w:rPr>
        <w:t xml:space="preserve"> for </w:t>
      </w:r>
      <w:r w:rsidR="00BE30B1">
        <w:rPr>
          <w:rFonts w:asciiTheme="majorHAnsi" w:hAnsiTheme="majorHAnsi" w:cstheme="majorHAnsi"/>
        </w:rPr>
        <w:t xml:space="preserve">the </w:t>
      </w:r>
      <w:r w:rsidR="0034552A">
        <w:rPr>
          <w:rFonts w:asciiTheme="majorHAnsi" w:hAnsiTheme="majorHAnsi" w:cstheme="majorHAnsi"/>
        </w:rPr>
        <w:t xml:space="preserve">17 </w:t>
      </w:r>
      <w:r w:rsidR="00716486" w:rsidRPr="00716486">
        <w:rPr>
          <w:rFonts w:asciiTheme="majorHAnsi" w:hAnsiTheme="majorHAnsi" w:cstheme="majorHAnsi"/>
        </w:rPr>
        <w:t xml:space="preserve">non-CODIS STRs </w:t>
      </w:r>
      <w:r w:rsidR="0034552A" w:rsidRPr="0034552A">
        <w:rPr>
          <w:rFonts w:asciiTheme="majorHAnsi" w:hAnsiTheme="majorHAnsi" w:cstheme="majorHAnsi"/>
        </w:rPr>
        <w:t>in</w:t>
      </w:r>
      <w:r w:rsidR="00BE30B1">
        <w:rPr>
          <w:rFonts w:asciiTheme="majorHAnsi" w:hAnsiTheme="majorHAnsi" w:cstheme="majorHAnsi"/>
        </w:rPr>
        <w:t>cluded</w:t>
      </w:r>
      <w:r w:rsidR="0034552A" w:rsidRPr="0034552A">
        <w:rPr>
          <w:rFonts w:asciiTheme="majorHAnsi" w:hAnsiTheme="majorHAnsi" w:cstheme="majorHAnsi"/>
        </w:rPr>
        <w:t xml:space="preserve"> </w:t>
      </w:r>
      <w:r w:rsidR="001C029F">
        <w:rPr>
          <w:rFonts w:asciiTheme="majorHAnsi" w:hAnsiTheme="majorHAnsi" w:cstheme="majorHAnsi"/>
        </w:rPr>
        <w:t xml:space="preserve">in </w:t>
      </w:r>
      <w:r w:rsidR="0034552A">
        <w:rPr>
          <w:rFonts w:asciiTheme="majorHAnsi" w:hAnsiTheme="majorHAnsi" w:cstheme="majorHAnsi"/>
        </w:rPr>
        <w:t>the kit.</w:t>
      </w:r>
    </w:p>
    <w:p w14:paraId="5243B777" w14:textId="0D5BD930" w:rsidR="00901F0E" w:rsidRPr="004D7C10" w:rsidRDefault="000C37CC" w:rsidP="00567F6A">
      <w:pPr>
        <w:bidi w:val="0"/>
        <w:spacing w:line="360" w:lineRule="auto"/>
        <w:jc w:val="both"/>
        <w:rPr>
          <w:rFonts w:asciiTheme="majorHAnsi" w:hAnsiTheme="majorHAnsi" w:cstheme="majorHAnsi"/>
          <w:b/>
          <w:bCs/>
          <w:lang w:val="en-GB"/>
        </w:rPr>
      </w:pPr>
      <w:r w:rsidRPr="004D7C10">
        <w:rPr>
          <w:rFonts w:asciiTheme="majorHAnsi" w:hAnsiTheme="majorHAnsi" w:cstheme="majorHAnsi"/>
        </w:rPr>
        <w:t>The data of the 17 non-CODIS STRs was sent to STRidER for quality control check</w:t>
      </w:r>
      <w:r w:rsidR="00576904">
        <w:rPr>
          <w:rFonts w:asciiTheme="majorHAnsi" w:hAnsiTheme="majorHAnsi" w:cstheme="majorHAnsi"/>
        </w:rPr>
        <w:t xml:space="preserve"> (STR000178)</w:t>
      </w:r>
      <w:r w:rsidRPr="004D7C10">
        <w:rPr>
          <w:rFonts w:asciiTheme="majorHAnsi" w:hAnsiTheme="majorHAnsi" w:cstheme="majorHAnsi"/>
        </w:rPr>
        <w:t>.</w:t>
      </w:r>
    </w:p>
    <w:p w14:paraId="2B9ECDCE" w14:textId="31822C6E" w:rsidR="00737BFD" w:rsidRPr="00567F6A" w:rsidRDefault="00362BE1" w:rsidP="00567F6A">
      <w:pPr>
        <w:bidi w:val="0"/>
        <w:jc w:val="both"/>
        <w:rPr>
          <w:rFonts w:asciiTheme="majorHAnsi" w:hAnsiTheme="majorHAnsi" w:cstheme="majorHAnsi"/>
          <w:b/>
          <w:bCs/>
        </w:rPr>
      </w:pPr>
      <w:r w:rsidRPr="00567F6A">
        <w:rPr>
          <w:rFonts w:asciiTheme="majorHAnsi" w:hAnsiTheme="majorHAnsi" w:cstheme="majorHAnsi"/>
          <w:b/>
          <w:bCs/>
          <w:lang w:val="en-GB"/>
        </w:rPr>
        <w:t>Results</w:t>
      </w:r>
      <w:r w:rsidR="00917227" w:rsidRPr="00567F6A">
        <w:rPr>
          <w:rFonts w:asciiTheme="majorHAnsi" w:hAnsiTheme="majorHAnsi" w:cstheme="majorHAnsi"/>
          <w:b/>
          <w:bCs/>
        </w:rPr>
        <w:t xml:space="preserve"> and Discussion</w:t>
      </w:r>
      <w:r w:rsidRPr="00567F6A">
        <w:rPr>
          <w:rFonts w:asciiTheme="majorHAnsi" w:hAnsiTheme="majorHAnsi" w:cstheme="majorHAnsi"/>
          <w:b/>
          <w:bCs/>
        </w:rPr>
        <w:t>:</w:t>
      </w:r>
    </w:p>
    <w:p w14:paraId="759C697C" w14:textId="4ECA2F37" w:rsidR="00362BE1" w:rsidRDefault="007178B6" w:rsidP="00567F6A">
      <w:pPr>
        <w:bidi w:val="0"/>
        <w:spacing w:line="360" w:lineRule="auto"/>
        <w:jc w:val="both"/>
        <w:rPr>
          <w:rFonts w:asciiTheme="majorHAnsi" w:hAnsiTheme="majorHAnsi" w:cstheme="majorHAnsi"/>
        </w:rPr>
      </w:pPr>
      <w:r w:rsidRPr="007178B6">
        <w:rPr>
          <w:rFonts w:asciiTheme="majorHAnsi" w:hAnsiTheme="majorHAnsi" w:cstheme="majorHAnsi"/>
        </w:rPr>
        <w:t>A set of 17 non-CODIS STR</w:t>
      </w:r>
      <w:r w:rsidR="00ED5BE6">
        <w:rPr>
          <w:rFonts w:asciiTheme="majorHAnsi" w:hAnsiTheme="majorHAnsi" w:cstheme="majorHAnsi"/>
        </w:rPr>
        <w:t>s</w:t>
      </w:r>
      <w:r w:rsidRPr="007178B6">
        <w:rPr>
          <w:rFonts w:asciiTheme="majorHAnsi" w:hAnsiTheme="majorHAnsi" w:cstheme="majorHAnsi"/>
        </w:rPr>
        <w:t xml:space="preserve"> were genotyped </w:t>
      </w:r>
      <w:r w:rsidR="0067082E">
        <w:rPr>
          <w:rFonts w:asciiTheme="majorHAnsi" w:hAnsiTheme="majorHAnsi" w:cstheme="majorHAnsi"/>
        </w:rPr>
        <w:t xml:space="preserve">using </w:t>
      </w:r>
      <w:r w:rsidR="0067082E" w:rsidRPr="000C37CC">
        <w:rPr>
          <w:rFonts w:asciiTheme="majorHAnsi" w:hAnsiTheme="majorHAnsi" w:cstheme="majorHAnsi"/>
        </w:rPr>
        <w:t>SureID® 23 comp Human Identification kit</w:t>
      </w:r>
      <w:r w:rsidR="0067082E">
        <w:rPr>
          <w:rFonts w:asciiTheme="majorHAnsi" w:hAnsiTheme="majorHAnsi" w:cstheme="majorHAnsi"/>
        </w:rPr>
        <w:t xml:space="preserve">. Table </w:t>
      </w:r>
      <w:r w:rsidR="00362BE1" w:rsidRPr="004D7C10">
        <w:rPr>
          <w:rFonts w:asciiTheme="majorHAnsi" w:hAnsiTheme="majorHAnsi" w:cstheme="majorHAnsi"/>
        </w:rPr>
        <w:t xml:space="preserve">1 </w:t>
      </w:r>
      <w:r w:rsidR="0067082E">
        <w:rPr>
          <w:rFonts w:asciiTheme="majorHAnsi" w:hAnsiTheme="majorHAnsi" w:cstheme="majorHAnsi"/>
        </w:rPr>
        <w:t xml:space="preserve">shows </w:t>
      </w:r>
      <w:r w:rsidR="00362BE1" w:rsidRPr="004D7C10">
        <w:rPr>
          <w:rFonts w:asciiTheme="majorHAnsi" w:hAnsiTheme="majorHAnsi" w:cstheme="majorHAnsi"/>
        </w:rPr>
        <w:t xml:space="preserve">the </w:t>
      </w:r>
      <w:r w:rsidR="00737BFD" w:rsidRPr="004D7C10">
        <w:rPr>
          <w:rFonts w:asciiTheme="majorHAnsi" w:hAnsiTheme="majorHAnsi" w:cstheme="majorHAnsi"/>
        </w:rPr>
        <w:t>allele frequency data for</w:t>
      </w:r>
      <w:r>
        <w:rPr>
          <w:rFonts w:asciiTheme="majorHAnsi" w:hAnsiTheme="majorHAnsi" w:cstheme="majorHAnsi"/>
        </w:rPr>
        <w:t xml:space="preserve"> the STRs,</w:t>
      </w:r>
      <w:r w:rsidR="00737BFD" w:rsidRPr="004D7C10">
        <w:rPr>
          <w:rFonts w:asciiTheme="majorHAnsi" w:hAnsiTheme="majorHAnsi" w:cstheme="majorHAnsi"/>
        </w:rPr>
        <w:t xml:space="preserve"> </w:t>
      </w:r>
      <w:r>
        <w:rPr>
          <w:rFonts w:asciiTheme="majorHAnsi" w:hAnsiTheme="majorHAnsi" w:cstheme="majorHAnsi"/>
        </w:rPr>
        <w:t xml:space="preserve">common forensic parameters and </w:t>
      </w:r>
      <w:r w:rsidR="00ED5BE6">
        <w:rPr>
          <w:rFonts w:asciiTheme="majorHAnsi" w:hAnsiTheme="majorHAnsi" w:cstheme="majorHAnsi"/>
        </w:rPr>
        <w:t xml:space="preserve">the </w:t>
      </w:r>
      <w:r w:rsidR="00ED5BE6" w:rsidRPr="007178B6">
        <w:rPr>
          <w:rFonts w:asciiTheme="majorHAnsi" w:hAnsiTheme="majorHAnsi" w:cstheme="majorHAnsi"/>
          <w:i/>
          <w:iCs/>
        </w:rPr>
        <w:t>P</w:t>
      </w:r>
      <w:r w:rsidR="00ED5BE6" w:rsidRPr="007178B6">
        <w:rPr>
          <w:rFonts w:asciiTheme="majorHAnsi" w:hAnsiTheme="majorHAnsi" w:cstheme="majorHAnsi"/>
        </w:rPr>
        <w:t xml:space="preserve"> value</w:t>
      </w:r>
      <w:r w:rsidR="00ED5BE6">
        <w:rPr>
          <w:rFonts w:asciiTheme="majorHAnsi" w:hAnsiTheme="majorHAnsi" w:cstheme="majorHAnsi"/>
        </w:rPr>
        <w:t xml:space="preserve">s of the </w:t>
      </w:r>
      <w:r>
        <w:rPr>
          <w:rFonts w:asciiTheme="majorHAnsi" w:hAnsiTheme="majorHAnsi" w:cstheme="majorHAnsi"/>
        </w:rPr>
        <w:t>Exact</w:t>
      </w:r>
      <w:r w:rsidRPr="007178B6">
        <w:rPr>
          <w:rFonts w:asciiTheme="majorHAnsi" w:hAnsiTheme="majorHAnsi" w:cstheme="majorHAnsi"/>
        </w:rPr>
        <w:t xml:space="preserve"> test </w:t>
      </w:r>
      <w:r>
        <w:rPr>
          <w:rFonts w:asciiTheme="majorHAnsi" w:hAnsiTheme="majorHAnsi" w:cstheme="majorHAnsi"/>
        </w:rPr>
        <w:t>for HWE</w:t>
      </w:r>
      <w:r w:rsidR="00516893">
        <w:rPr>
          <w:rFonts w:asciiTheme="majorHAnsi" w:hAnsiTheme="majorHAnsi" w:cstheme="majorHAnsi"/>
        </w:rPr>
        <w:t>.</w:t>
      </w:r>
      <w:r w:rsidR="00516893" w:rsidRPr="00516893">
        <w:t xml:space="preserve"> </w:t>
      </w:r>
      <w:r w:rsidR="00516893" w:rsidRPr="00516893">
        <w:rPr>
          <w:rFonts w:asciiTheme="majorHAnsi" w:hAnsiTheme="majorHAnsi" w:cstheme="majorHAnsi"/>
        </w:rPr>
        <w:t xml:space="preserve">Assuming no deviation from HWE and all STRs are independent, they showed 1.2E-20 CMP, 0.9999747848 CPE, and 0.999999999999999999988164 CPD. D21S2055 was the most informative locus, with a MP of 0.016, and D17S1301 was the least informative locus, with a MP of </w:t>
      </w:r>
      <w:r w:rsidR="00516893" w:rsidRPr="00516893">
        <w:rPr>
          <w:rFonts w:asciiTheme="majorHAnsi" w:hAnsiTheme="majorHAnsi" w:cstheme="majorHAnsi"/>
        </w:rPr>
        <w:lastRenderedPageBreak/>
        <w:t>0.162. Heterozygosity ranged from 0.624 (D20S482) to 0.89 (D21S2055). The number of observed alleles per locus varied from 7 alleles in D17S1301 to 20 alleles in D21S2055.</w:t>
      </w:r>
      <w:r w:rsidR="00ED5BE6">
        <w:rPr>
          <w:rFonts w:asciiTheme="majorHAnsi" w:hAnsiTheme="majorHAnsi" w:cstheme="majorHAnsi"/>
        </w:rPr>
        <w:t xml:space="preserve"> </w:t>
      </w:r>
      <w:r w:rsidR="00ED5BE6" w:rsidRPr="00ED5BE6">
        <w:rPr>
          <w:rFonts w:asciiTheme="majorHAnsi" w:hAnsiTheme="majorHAnsi" w:cstheme="majorHAnsi"/>
        </w:rPr>
        <w:t>The parameters show the usefulness of using the kit as a complementary STR kit.</w:t>
      </w:r>
    </w:p>
    <w:p w14:paraId="038F2271" w14:textId="04EAE87F" w:rsidR="00D856D1" w:rsidRDefault="00D427FB" w:rsidP="002A5494">
      <w:pPr>
        <w:bidi w:val="0"/>
        <w:spacing w:line="360" w:lineRule="auto"/>
        <w:jc w:val="both"/>
        <w:rPr>
          <w:rFonts w:asciiTheme="majorHAnsi" w:hAnsiTheme="majorHAnsi" w:cstheme="majorHAnsi"/>
        </w:rPr>
      </w:pPr>
      <w:r>
        <w:rPr>
          <w:rFonts w:asciiTheme="majorHAnsi" w:hAnsiTheme="majorHAnsi" w:cstheme="majorHAnsi"/>
        </w:rPr>
        <w:t>Fourteen STRs</w:t>
      </w:r>
      <w:r w:rsidRPr="00D427FB">
        <w:rPr>
          <w:rFonts w:asciiTheme="majorHAnsi" w:hAnsiTheme="majorHAnsi" w:cstheme="majorHAnsi"/>
        </w:rPr>
        <w:t xml:space="preserve"> showed </w:t>
      </w:r>
      <w:bookmarkStart w:id="8" w:name="_Hlk114088272"/>
      <w:r w:rsidRPr="00D427FB">
        <w:rPr>
          <w:rFonts w:asciiTheme="majorHAnsi" w:hAnsiTheme="majorHAnsi" w:cstheme="majorHAnsi"/>
        </w:rPr>
        <w:t xml:space="preserve">fewer than expected heterozygotes </w:t>
      </w:r>
      <w:bookmarkStart w:id="9" w:name="_Hlk114087579"/>
      <w:r w:rsidRPr="00D427FB">
        <w:rPr>
          <w:rFonts w:asciiTheme="majorHAnsi" w:hAnsiTheme="majorHAnsi" w:cstheme="majorHAnsi"/>
        </w:rPr>
        <w:t xml:space="preserve">(D9S1122, D4S2366 and D8S1132 </w:t>
      </w:r>
      <w:bookmarkEnd w:id="9"/>
      <w:r w:rsidRPr="00D427FB">
        <w:rPr>
          <w:rFonts w:asciiTheme="majorHAnsi" w:hAnsiTheme="majorHAnsi" w:cstheme="majorHAnsi"/>
        </w:rPr>
        <w:t>were the exception)</w:t>
      </w:r>
      <w:bookmarkEnd w:id="8"/>
      <w:r w:rsidRPr="00D427FB">
        <w:rPr>
          <w:rFonts w:asciiTheme="majorHAnsi" w:hAnsiTheme="majorHAnsi" w:cstheme="majorHAnsi"/>
        </w:rPr>
        <w:t xml:space="preserve">. D20S482 was the only locus that showed significant deviation </w:t>
      </w:r>
      <w:r w:rsidR="009366AE">
        <w:rPr>
          <w:rFonts w:asciiTheme="majorHAnsi" w:hAnsiTheme="majorHAnsi" w:cstheme="majorHAnsi"/>
        </w:rPr>
        <w:t xml:space="preserve">due to excess of homozygosity </w:t>
      </w:r>
      <w:r w:rsidRPr="00D427FB">
        <w:rPr>
          <w:rFonts w:asciiTheme="majorHAnsi" w:hAnsiTheme="majorHAnsi" w:cstheme="majorHAnsi"/>
        </w:rPr>
        <w:t>(</w:t>
      </w:r>
      <w:r w:rsidRPr="00CC469D">
        <w:rPr>
          <w:rFonts w:asciiTheme="majorHAnsi" w:hAnsiTheme="majorHAnsi" w:cstheme="majorHAnsi"/>
          <w:i/>
          <w:iCs/>
        </w:rPr>
        <w:t>P</w:t>
      </w:r>
      <w:r w:rsidRPr="00D427FB">
        <w:rPr>
          <w:rFonts w:asciiTheme="majorHAnsi" w:hAnsiTheme="majorHAnsi" w:cstheme="majorHAnsi"/>
        </w:rPr>
        <w:t xml:space="preserve"> value = 0) (Table </w:t>
      </w:r>
      <w:r>
        <w:rPr>
          <w:rFonts w:asciiTheme="majorHAnsi" w:hAnsiTheme="majorHAnsi" w:cstheme="majorHAnsi"/>
        </w:rPr>
        <w:t>1</w:t>
      </w:r>
      <w:r w:rsidRPr="00D427FB">
        <w:rPr>
          <w:rFonts w:asciiTheme="majorHAnsi" w:hAnsiTheme="majorHAnsi" w:cstheme="majorHAnsi"/>
        </w:rPr>
        <w:t xml:space="preserve">). </w:t>
      </w:r>
      <w:r w:rsidR="002A5494">
        <w:rPr>
          <w:rFonts w:asciiTheme="majorHAnsi" w:hAnsiTheme="majorHAnsi" w:cstheme="majorHAnsi"/>
        </w:rPr>
        <w:t xml:space="preserve">As </w:t>
      </w:r>
      <w:r w:rsidR="002A5494" w:rsidRPr="00F84E2F">
        <w:rPr>
          <w:rFonts w:asciiTheme="majorHAnsi" w:hAnsiTheme="majorHAnsi" w:cstheme="majorHAnsi"/>
        </w:rPr>
        <w:t>null alleles</w:t>
      </w:r>
      <w:r w:rsidR="002A5494">
        <w:rPr>
          <w:rFonts w:asciiTheme="majorHAnsi" w:hAnsiTheme="majorHAnsi" w:cstheme="majorHAnsi"/>
        </w:rPr>
        <w:t xml:space="preserve"> may contribute to this deviation, </w:t>
      </w:r>
      <w:r w:rsidR="00D856D1" w:rsidRPr="00D856D1">
        <w:rPr>
          <w:rFonts w:asciiTheme="majorHAnsi" w:hAnsiTheme="majorHAnsi" w:cstheme="majorHAnsi"/>
        </w:rPr>
        <w:t xml:space="preserve">SNP variants with &gt; 1% frequency at the flanking regions (100 bp each side) of the locus using the 1000 Genome browser </w:t>
      </w:r>
      <w:r w:rsidR="00D856D1">
        <w:rPr>
          <w:rFonts w:asciiTheme="majorHAnsi" w:hAnsiTheme="majorHAnsi" w:cstheme="majorHAnsi"/>
        </w:rPr>
        <w:t>[</w:t>
      </w:r>
      <w:r w:rsidR="00240394">
        <w:rPr>
          <w:rFonts w:asciiTheme="majorHAnsi" w:hAnsiTheme="majorHAnsi" w:cstheme="majorHAnsi"/>
        </w:rPr>
        <w:t>5</w:t>
      </w:r>
      <w:r w:rsidR="00D856D1">
        <w:rPr>
          <w:rFonts w:asciiTheme="majorHAnsi" w:hAnsiTheme="majorHAnsi" w:cstheme="majorHAnsi"/>
        </w:rPr>
        <w:t>]</w:t>
      </w:r>
      <w:r w:rsidR="002A5494">
        <w:rPr>
          <w:rFonts w:asciiTheme="majorHAnsi" w:hAnsiTheme="majorHAnsi" w:cstheme="majorHAnsi"/>
        </w:rPr>
        <w:t xml:space="preserve"> w</w:t>
      </w:r>
      <w:r w:rsidR="000B2CF6">
        <w:rPr>
          <w:rFonts w:asciiTheme="majorHAnsi" w:hAnsiTheme="majorHAnsi" w:cstheme="majorHAnsi"/>
        </w:rPr>
        <w:t>ere</w:t>
      </w:r>
      <w:r w:rsidR="002A5494">
        <w:rPr>
          <w:rFonts w:asciiTheme="majorHAnsi" w:hAnsiTheme="majorHAnsi" w:cstheme="majorHAnsi"/>
        </w:rPr>
        <w:t xml:space="preserve"> examined. T</w:t>
      </w:r>
      <w:r w:rsidR="00D856D1" w:rsidRPr="00D856D1">
        <w:rPr>
          <w:rFonts w:asciiTheme="majorHAnsi" w:hAnsiTheme="majorHAnsi" w:cstheme="majorHAnsi"/>
        </w:rPr>
        <w:t xml:space="preserve">wo SNPs in the 5´flanking region: rs151133985 </w:t>
      </w:r>
      <w:r w:rsidR="004522BB" w:rsidRPr="004522BB">
        <w:rPr>
          <w:rFonts w:asciiTheme="majorHAnsi" w:hAnsiTheme="majorHAnsi" w:cstheme="majorHAnsi"/>
        </w:rPr>
        <w:t xml:space="preserve">(all populations C: 99%, G: 1%; Africans C: 98%, G: 2%) </w:t>
      </w:r>
      <w:r w:rsidR="00D856D1" w:rsidRPr="00D856D1">
        <w:rPr>
          <w:rFonts w:asciiTheme="majorHAnsi" w:hAnsiTheme="majorHAnsi" w:cstheme="majorHAnsi"/>
        </w:rPr>
        <w:t>and rs77560248</w:t>
      </w:r>
      <w:r w:rsidR="004522BB" w:rsidRPr="004522BB">
        <w:t xml:space="preserve"> </w:t>
      </w:r>
      <w:r w:rsidR="004522BB" w:rsidRPr="004522BB">
        <w:rPr>
          <w:rFonts w:asciiTheme="majorHAnsi" w:hAnsiTheme="majorHAnsi" w:cstheme="majorHAnsi"/>
        </w:rPr>
        <w:t>(all populations C: 94%, T: 6%; Europeans and South Asians C: 91%, T: 9%);</w:t>
      </w:r>
      <w:r w:rsidR="00D856D1" w:rsidRPr="00D856D1">
        <w:rPr>
          <w:rFonts w:asciiTheme="majorHAnsi" w:hAnsiTheme="majorHAnsi" w:cstheme="majorHAnsi"/>
        </w:rPr>
        <w:t xml:space="preserve"> and one SNP at </w:t>
      </w:r>
      <w:r w:rsidR="0006038C">
        <w:rPr>
          <w:rFonts w:asciiTheme="majorHAnsi" w:hAnsiTheme="majorHAnsi" w:cstheme="majorHAnsi"/>
        </w:rPr>
        <w:t xml:space="preserve">the </w:t>
      </w:r>
      <w:r w:rsidR="00D856D1" w:rsidRPr="00D856D1">
        <w:rPr>
          <w:rFonts w:asciiTheme="majorHAnsi" w:hAnsiTheme="majorHAnsi" w:cstheme="majorHAnsi"/>
        </w:rPr>
        <w:t>3´flanking region: rs551422781</w:t>
      </w:r>
      <w:r w:rsidR="004522BB" w:rsidRPr="004522BB">
        <w:t xml:space="preserve"> </w:t>
      </w:r>
      <w:r w:rsidR="004522BB" w:rsidRPr="004522BB">
        <w:rPr>
          <w:rFonts w:asciiTheme="majorHAnsi" w:hAnsiTheme="majorHAnsi" w:cstheme="majorHAnsi"/>
        </w:rPr>
        <w:t>(Africans G: 99%, A: 1%),</w:t>
      </w:r>
      <w:r w:rsidR="00D856D1" w:rsidRPr="00D856D1">
        <w:rPr>
          <w:rFonts w:asciiTheme="majorHAnsi" w:hAnsiTheme="majorHAnsi" w:cstheme="majorHAnsi"/>
        </w:rPr>
        <w:t xml:space="preserve"> were found. These SNPs may cause null alleles if any of them was at a critical annealing region of the primer. However, none of the populations</w:t>
      </w:r>
      <w:r w:rsidR="004522BB">
        <w:rPr>
          <w:rFonts w:asciiTheme="majorHAnsi" w:hAnsiTheme="majorHAnsi" w:cstheme="majorHAnsi"/>
        </w:rPr>
        <w:t xml:space="preserve"> of</w:t>
      </w:r>
      <w:r w:rsidR="00D856D1" w:rsidRPr="00D856D1">
        <w:rPr>
          <w:rFonts w:asciiTheme="majorHAnsi" w:hAnsiTheme="majorHAnsi" w:cstheme="majorHAnsi"/>
        </w:rPr>
        <w:t xml:space="preserve"> European, South Asian and African that were studied using the same kit has shown deviation from HWE at this locus </w:t>
      </w:r>
      <w:r w:rsidR="00D856D1">
        <w:rPr>
          <w:rFonts w:asciiTheme="majorHAnsi" w:hAnsiTheme="majorHAnsi" w:cstheme="majorHAnsi"/>
        </w:rPr>
        <w:t>[</w:t>
      </w:r>
      <w:r w:rsidR="00690473">
        <w:rPr>
          <w:rFonts w:asciiTheme="majorHAnsi" w:hAnsiTheme="majorHAnsi" w:cstheme="majorHAnsi"/>
        </w:rPr>
        <w:t>6</w:t>
      </w:r>
      <w:r w:rsidR="00D856D1">
        <w:rPr>
          <w:rFonts w:asciiTheme="majorHAnsi" w:hAnsiTheme="majorHAnsi" w:cstheme="majorHAnsi"/>
        </w:rPr>
        <w:t>]</w:t>
      </w:r>
      <w:r w:rsidR="00D856D1" w:rsidRPr="00D856D1">
        <w:rPr>
          <w:rFonts w:asciiTheme="majorHAnsi" w:hAnsiTheme="majorHAnsi" w:cstheme="majorHAnsi"/>
        </w:rPr>
        <w:t>. Sequencing homozygotes samples or using a different kit to genotype the locus may reveal more information</w:t>
      </w:r>
      <w:r w:rsidR="004641C6">
        <w:rPr>
          <w:rFonts w:asciiTheme="majorHAnsi" w:hAnsiTheme="majorHAnsi" w:cstheme="majorHAnsi"/>
        </w:rPr>
        <w:t xml:space="preserve"> about the possible contribution of </w:t>
      </w:r>
      <w:r w:rsidR="004641C6" w:rsidRPr="00D856D1">
        <w:rPr>
          <w:rFonts w:asciiTheme="majorHAnsi" w:hAnsiTheme="majorHAnsi" w:cstheme="majorHAnsi"/>
        </w:rPr>
        <w:t>null alleles</w:t>
      </w:r>
      <w:r w:rsidR="00D856D1" w:rsidRPr="00D856D1">
        <w:rPr>
          <w:rFonts w:asciiTheme="majorHAnsi" w:hAnsiTheme="majorHAnsi" w:cstheme="majorHAnsi"/>
        </w:rPr>
        <w:t xml:space="preserve">. </w:t>
      </w:r>
    </w:p>
    <w:p w14:paraId="66EB088F" w14:textId="75910B06" w:rsidR="00D0689A" w:rsidRPr="00567F6A" w:rsidRDefault="00D0689A" w:rsidP="00567F6A">
      <w:pPr>
        <w:bidi w:val="0"/>
        <w:jc w:val="both"/>
        <w:rPr>
          <w:b/>
          <w:bCs/>
        </w:rPr>
      </w:pPr>
      <w:r w:rsidRPr="00567F6A">
        <w:rPr>
          <w:b/>
          <w:bCs/>
        </w:rPr>
        <w:t>Conclusion</w:t>
      </w:r>
    </w:p>
    <w:p w14:paraId="2BBFD92B" w14:textId="53A60BB3" w:rsidR="002A3A04" w:rsidRDefault="00723E05" w:rsidP="00567F6A">
      <w:pPr>
        <w:bidi w:val="0"/>
        <w:spacing w:line="360" w:lineRule="auto"/>
        <w:jc w:val="both"/>
        <w:rPr>
          <w:rFonts w:asciiTheme="majorHAnsi" w:hAnsiTheme="majorHAnsi" w:cstheme="majorHAnsi"/>
        </w:rPr>
      </w:pPr>
      <w:r w:rsidRPr="00567F6A">
        <w:rPr>
          <w:rFonts w:asciiTheme="majorHAnsi" w:hAnsiTheme="majorHAnsi" w:cstheme="majorHAnsi"/>
        </w:rPr>
        <w:t xml:space="preserve">The allele frequency data </w:t>
      </w:r>
      <w:r w:rsidR="002A3A04" w:rsidRPr="00567F6A">
        <w:rPr>
          <w:rFonts w:asciiTheme="majorHAnsi" w:hAnsiTheme="majorHAnsi" w:cstheme="majorHAnsi"/>
        </w:rPr>
        <w:t xml:space="preserve">and </w:t>
      </w:r>
      <w:r w:rsidR="00567F6A">
        <w:rPr>
          <w:rFonts w:asciiTheme="majorHAnsi" w:hAnsiTheme="majorHAnsi" w:cstheme="majorHAnsi"/>
        </w:rPr>
        <w:t xml:space="preserve">the </w:t>
      </w:r>
      <w:r w:rsidR="002A3A04" w:rsidRPr="00567F6A">
        <w:rPr>
          <w:rFonts w:asciiTheme="majorHAnsi" w:hAnsiTheme="majorHAnsi" w:cstheme="majorHAnsi"/>
        </w:rPr>
        <w:t xml:space="preserve">common forensic parameters </w:t>
      </w:r>
      <w:r w:rsidR="00F26293" w:rsidRPr="00567F6A">
        <w:rPr>
          <w:rFonts w:asciiTheme="majorHAnsi" w:hAnsiTheme="majorHAnsi" w:cstheme="majorHAnsi"/>
        </w:rPr>
        <w:t>were</w:t>
      </w:r>
      <w:r w:rsidR="002A3A04" w:rsidRPr="00567F6A">
        <w:rPr>
          <w:rFonts w:asciiTheme="majorHAnsi" w:hAnsiTheme="majorHAnsi" w:cstheme="majorHAnsi"/>
        </w:rPr>
        <w:t xml:space="preserve"> estimated and </w:t>
      </w:r>
      <w:r w:rsidR="00F26293" w:rsidRPr="00567F6A">
        <w:rPr>
          <w:rFonts w:asciiTheme="majorHAnsi" w:hAnsiTheme="majorHAnsi" w:cstheme="majorHAnsi"/>
        </w:rPr>
        <w:t xml:space="preserve">are </w:t>
      </w:r>
      <w:r w:rsidRPr="00567F6A">
        <w:rPr>
          <w:rFonts w:asciiTheme="majorHAnsi" w:hAnsiTheme="majorHAnsi" w:cstheme="majorHAnsi"/>
        </w:rPr>
        <w:t>presented</w:t>
      </w:r>
      <w:r w:rsidR="002A3A04" w:rsidRPr="00567F6A">
        <w:rPr>
          <w:rFonts w:asciiTheme="majorHAnsi" w:hAnsiTheme="majorHAnsi" w:cstheme="majorHAnsi"/>
        </w:rPr>
        <w:t xml:space="preserve"> in this paper. </w:t>
      </w:r>
      <w:r w:rsidRPr="00567F6A">
        <w:rPr>
          <w:rFonts w:asciiTheme="majorHAnsi" w:hAnsiTheme="majorHAnsi" w:cstheme="majorHAnsi"/>
        </w:rPr>
        <w:t xml:space="preserve">Due to the D20S482’s deviation, </w:t>
      </w:r>
      <w:r w:rsidR="00F26293" w:rsidRPr="00567F6A">
        <w:rPr>
          <w:rFonts w:asciiTheme="majorHAnsi" w:hAnsiTheme="majorHAnsi" w:cstheme="majorHAnsi"/>
        </w:rPr>
        <w:t>the locus</w:t>
      </w:r>
      <w:r w:rsidRPr="00567F6A">
        <w:rPr>
          <w:rFonts w:asciiTheme="majorHAnsi" w:hAnsiTheme="majorHAnsi" w:cstheme="majorHAnsi"/>
        </w:rPr>
        <w:t xml:space="preserve"> cannot be included in the product rule to calculate the probability of a DNA profile</w:t>
      </w:r>
      <w:r w:rsidR="00F26293" w:rsidRPr="00567F6A">
        <w:rPr>
          <w:rFonts w:asciiTheme="majorHAnsi" w:hAnsiTheme="majorHAnsi" w:cstheme="majorHAnsi"/>
        </w:rPr>
        <w:t xml:space="preserve"> for the population of Saudi Arabia</w:t>
      </w:r>
      <w:r w:rsidR="00AA2D88">
        <w:rPr>
          <w:rFonts w:asciiTheme="majorHAnsi" w:hAnsiTheme="majorHAnsi" w:cstheme="majorHAnsi"/>
        </w:rPr>
        <w:t>.</w:t>
      </w:r>
      <w:r w:rsidR="00567F6A">
        <w:rPr>
          <w:rFonts w:asciiTheme="majorHAnsi" w:hAnsiTheme="majorHAnsi" w:cstheme="majorHAnsi"/>
        </w:rPr>
        <w:t xml:space="preserve"> </w:t>
      </w:r>
    </w:p>
    <w:p w14:paraId="4ED61597" w14:textId="6EFEE91A" w:rsidR="004641C6" w:rsidRDefault="00690473" w:rsidP="00690473">
      <w:pPr>
        <w:bidi w:val="0"/>
        <w:spacing w:line="360" w:lineRule="auto"/>
        <w:jc w:val="both"/>
        <w:rPr>
          <w:rFonts w:asciiTheme="majorHAnsi" w:hAnsiTheme="majorHAnsi" w:cstheme="majorHAnsi"/>
        </w:rPr>
      </w:pPr>
      <w:r>
        <w:rPr>
          <w:rFonts w:asciiTheme="majorHAnsi" w:hAnsiTheme="majorHAnsi" w:cstheme="majorHAnsi"/>
        </w:rPr>
        <w:t>Although, t</w:t>
      </w:r>
      <w:r w:rsidR="004641C6">
        <w:rPr>
          <w:rFonts w:asciiTheme="majorHAnsi" w:hAnsiTheme="majorHAnsi" w:cstheme="majorHAnsi"/>
        </w:rPr>
        <w:t xml:space="preserve">he study suggests that the </w:t>
      </w:r>
      <w:r w:rsidR="004641C6" w:rsidRPr="004641C6">
        <w:rPr>
          <w:rFonts w:asciiTheme="majorHAnsi" w:hAnsiTheme="majorHAnsi" w:cstheme="majorHAnsi"/>
        </w:rPr>
        <w:t>excess of homozygosity</w:t>
      </w:r>
      <w:r w:rsidR="004641C6">
        <w:rPr>
          <w:rFonts w:asciiTheme="majorHAnsi" w:hAnsiTheme="majorHAnsi" w:cstheme="majorHAnsi"/>
        </w:rPr>
        <w:t xml:space="preserve"> observed in Saudi population may be, in part, due to the elevated rate of </w:t>
      </w:r>
      <w:r w:rsidR="00AA2D88">
        <w:rPr>
          <w:rFonts w:asciiTheme="majorHAnsi" w:hAnsiTheme="majorHAnsi" w:cstheme="majorHAnsi"/>
        </w:rPr>
        <w:t xml:space="preserve">consanguinity, </w:t>
      </w:r>
      <w:r w:rsidR="00AA2D88" w:rsidRPr="00567F6A">
        <w:rPr>
          <w:rFonts w:asciiTheme="majorHAnsi" w:hAnsiTheme="majorHAnsi" w:cstheme="majorHAnsi"/>
        </w:rPr>
        <w:t xml:space="preserve">more studies are needed to find out the </w:t>
      </w:r>
      <w:r>
        <w:rPr>
          <w:rFonts w:asciiTheme="majorHAnsi" w:hAnsiTheme="majorHAnsi" w:cstheme="majorHAnsi"/>
        </w:rPr>
        <w:t xml:space="preserve">other </w:t>
      </w:r>
      <w:r w:rsidRPr="00690473">
        <w:rPr>
          <w:rFonts w:asciiTheme="majorHAnsi" w:hAnsiTheme="majorHAnsi" w:cstheme="majorHAnsi"/>
        </w:rPr>
        <w:t>possible reasons of this deviation.</w:t>
      </w:r>
    </w:p>
    <w:p w14:paraId="444184E1" w14:textId="77777777" w:rsidR="00576904" w:rsidRPr="00567F6A" w:rsidRDefault="00576904" w:rsidP="00576904">
      <w:pPr>
        <w:bidi w:val="0"/>
        <w:spacing w:line="360" w:lineRule="auto"/>
        <w:jc w:val="both"/>
        <w:rPr>
          <w:rFonts w:asciiTheme="majorHAnsi" w:hAnsiTheme="majorHAnsi" w:cstheme="majorHAnsi"/>
        </w:rPr>
      </w:pPr>
    </w:p>
    <w:p w14:paraId="44038769" w14:textId="47C7926B" w:rsidR="00723E05" w:rsidRPr="00567F6A" w:rsidRDefault="00D0689A" w:rsidP="00567F6A">
      <w:pPr>
        <w:bidi w:val="0"/>
        <w:jc w:val="both"/>
        <w:rPr>
          <w:b/>
          <w:bCs/>
        </w:rPr>
      </w:pPr>
      <w:r w:rsidRPr="00567F6A">
        <w:rPr>
          <w:b/>
          <w:bCs/>
        </w:rPr>
        <w:t>Acknowledgments</w:t>
      </w:r>
    </w:p>
    <w:p w14:paraId="2BD3D804" w14:textId="77777777" w:rsidR="006E2F41" w:rsidRDefault="00723E05" w:rsidP="00567F6A">
      <w:pPr>
        <w:bidi w:val="0"/>
        <w:jc w:val="both"/>
      </w:pPr>
      <w:r>
        <w:t>T</w:t>
      </w:r>
      <w:r w:rsidRPr="00723E05">
        <w:t xml:space="preserve">his work </w:t>
      </w:r>
      <w:r>
        <w:t>was</w:t>
      </w:r>
      <w:r w:rsidRPr="00723E05">
        <w:t xml:space="preserve"> supported by the Saudi Arabian cultural bureau in London (UKSACB).</w:t>
      </w:r>
    </w:p>
    <w:p w14:paraId="1BC5053C" w14:textId="7912E346" w:rsidR="00723E05" w:rsidRDefault="00723E05" w:rsidP="006E2F41">
      <w:pPr>
        <w:bidi w:val="0"/>
        <w:jc w:val="both"/>
      </w:pPr>
    </w:p>
    <w:p w14:paraId="2A8BE77A" w14:textId="77777777" w:rsidR="00723E05" w:rsidRPr="00567F6A" w:rsidRDefault="00D0689A" w:rsidP="00567F6A">
      <w:pPr>
        <w:bidi w:val="0"/>
        <w:jc w:val="both"/>
        <w:rPr>
          <w:b/>
          <w:bCs/>
        </w:rPr>
      </w:pPr>
      <w:r w:rsidRPr="00567F6A">
        <w:rPr>
          <w:b/>
          <w:bCs/>
        </w:rPr>
        <w:t>Conflict of interest statement</w:t>
      </w:r>
    </w:p>
    <w:p w14:paraId="36B05348" w14:textId="77777777" w:rsidR="00567F6A" w:rsidRDefault="00723E05" w:rsidP="00567F6A">
      <w:pPr>
        <w:bidi w:val="0"/>
        <w:jc w:val="both"/>
      </w:pPr>
      <w:r w:rsidRPr="00723E05">
        <w:t>The authors declare no Conflict of interest</w:t>
      </w:r>
      <w:r>
        <w:t>s.</w:t>
      </w:r>
    </w:p>
    <w:p w14:paraId="09D64951" w14:textId="2577C71A" w:rsidR="00723E05" w:rsidRDefault="00723E05" w:rsidP="00567F6A">
      <w:pPr>
        <w:bidi w:val="0"/>
        <w:jc w:val="both"/>
      </w:pPr>
    </w:p>
    <w:p w14:paraId="6F631EB2" w14:textId="77777777" w:rsidR="00293903" w:rsidRDefault="00293903" w:rsidP="00567F6A">
      <w:pPr>
        <w:bidi w:val="0"/>
        <w:jc w:val="both"/>
        <w:rPr>
          <w:b/>
          <w:bCs/>
        </w:rPr>
      </w:pPr>
    </w:p>
    <w:p w14:paraId="5BF92FC8" w14:textId="77777777" w:rsidR="00293903" w:rsidRDefault="00293903" w:rsidP="00293903">
      <w:pPr>
        <w:bidi w:val="0"/>
        <w:jc w:val="both"/>
        <w:rPr>
          <w:b/>
          <w:bCs/>
        </w:rPr>
      </w:pPr>
    </w:p>
    <w:p w14:paraId="2FD53DF3" w14:textId="489D775E" w:rsidR="00D0689A" w:rsidRPr="00567F6A" w:rsidRDefault="00D0689A" w:rsidP="00293903">
      <w:pPr>
        <w:bidi w:val="0"/>
        <w:jc w:val="both"/>
        <w:rPr>
          <w:rFonts w:asciiTheme="majorHAnsi" w:hAnsiTheme="majorHAnsi" w:cstheme="majorHAnsi"/>
          <w:b/>
          <w:bCs/>
        </w:rPr>
      </w:pPr>
      <w:r w:rsidRPr="00567F6A">
        <w:rPr>
          <w:b/>
          <w:bCs/>
        </w:rPr>
        <w:t>References</w:t>
      </w:r>
    </w:p>
    <w:p w14:paraId="20A10D4E" w14:textId="7DB319D8" w:rsidR="003A25C7" w:rsidRPr="006E2F41" w:rsidRDefault="003A25C7" w:rsidP="00567F6A">
      <w:pPr>
        <w:bidi w:val="0"/>
        <w:jc w:val="both"/>
        <w:rPr>
          <w:rFonts w:asciiTheme="majorHAnsi" w:hAnsiTheme="majorHAnsi" w:cstheme="majorHAnsi"/>
          <w:sz w:val="20"/>
          <w:szCs w:val="20"/>
        </w:rPr>
      </w:pPr>
      <w:r w:rsidRPr="006E2F41">
        <w:rPr>
          <w:rFonts w:asciiTheme="majorHAnsi" w:hAnsiTheme="majorHAnsi" w:cstheme="majorHAnsi"/>
          <w:sz w:val="20"/>
          <w:szCs w:val="20"/>
        </w:rPr>
        <w:lastRenderedPageBreak/>
        <w:t>[1] M. El-</w:t>
      </w:r>
      <w:proofErr w:type="spellStart"/>
      <w:r w:rsidRPr="006E2F41">
        <w:rPr>
          <w:rFonts w:asciiTheme="majorHAnsi" w:hAnsiTheme="majorHAnsi" w:cstheme="majorHAnsi"/>
          <w:sz w:val="20"/>
          <w:szCs w:val="20"/>
        </w:rPr>
        <w:t>Hazmi</w:t>
      </w:r>
      <w:proofErr w:type="spellEnd"/>
      <w:r w:rsidRPr="006E2F41">
        <w:rPr>
          <w:rFonts w:asciiTheme="majorHAnsi" w:hAnsiTheme="majorHAnsi" w:cstheme="majorHAnsi"/>
          <w:sz w:val="20"/>
          <w:szCs w:val="20"/>
        </w:rPr>
        <w:t>; A. Al-</w:t>
      </w:r>
      <w:proofErr w:type="spellStart"/>
      <w:r w:rsidRPr="006E2F41">
        <w:rPr>
          <w:rFonts w:asciiTheme="majorHAnsi" w:hAnsiTheme="majorHAnsi" w:cstheme="majorHAnsi"/>
          <w:sz w:val="20"/>
          <w:szCs w:val="20"/>
        </w:rPr>
        <w:t>Swailem</w:t>
      </w:r>
      <w:proofErr w:type="spellEnd"/>
      <w:r w:rsidRPr="006E2F41">
        <w:rPr>
          <w:rFonts w:asciiTheme="majorHAnsi" w:hAnsiTheme="majorHAnsi" w:cstheme="majorHAnsi"/>
          <w:sz w:val="20"/>
          <w:szCs w:val="20"/>
        </w:rPr>
        <w:t xml:space="preserve">; A. </w:t>
      </w:r>
      <w:proofErr w:type="spellStart"/>
      <w:r w:rsidRPr="006E2F41">
        <w:rPr>
          <w:rFonts w:asciiTheme="majorHAnsi" w:hAnsiTheme="majorHAnsi" w:cstheme="majorHAnsi"/>
          <w:sz w:val="20"/>
          <w:szCs w:val="20"/>
        </w:rPr>
        <w:t>Warsy</w:t>
      </w:r>
      <w:proofErr w:type="spellEnd"/>
      <w:r w:rsidRPr="006E2F41">
        <w:rPr>
          <w:rFonts w:asciiTheme="majorHAnsi" w:hAnsiTheme="majorHAnsi" w:cstheme="majorHAnsi"/>
          <w:sz w:val="20"/>
          <w:szCs w:val="20"/>
        </w:rPr>
        <w:t xml:space="preserve">; R. </w:t>
      </w:r>
      <w:proofErr w:type="spellStart"/>
      <w:r w:rsidRPr="006E2F41">
        <w:rPr>
          <w:rFonts w:asciiTheme="majorHAnsi" w:hAnsiTheme="majorHAnsi" w:cstheme="majorHAnsi"/>
          <w:sz w:val="20"/>
          <w:szCs w:val="20"/>
        </w:rPr>
        <w:t>Sulaimani</w:t>
      </w:r>
      <w:proofErr w:type="spellEnd"/>
      <w:r w:rsidRPr="006E2F41">
        <w:rPr>
          <w:rFonts w:asciiTheme="majorHAnsi" w:hAnsiTheme="majorHAnsi" w:cstheme="majorHAnsi"/>
          <w:sz w:val="20"/>
          <w:szCs w:val="20"/>
        </w:rPr>
        <w:t xml:space="preserve"> and a. Al-</w:t>
      </w:r>
      <w:proofErr w:type="spellStart"/>
      <w:r w:rsidRPr="006E2F41">
        <w:rPr>
          <w:rFonts w:asciiTheme="majorHAnsi" w:hAnsiTheme="majorHAnsi" w:cstheme="majorHAnsi"/>
          <w:sz w:val="20"/>
          <w:szCs w:val="20"/>
        </w:rPr>
        <w:t>Meshari</w:t>
      </w:r>
      <w:proofErr w:type="spellEnd"/>
      <w:r w:rsidRPr="006E2F41">
        <w:rPr>
          <w:rFonts w:asciiTheme="majorHAnsi" w:hAnsiTheme="majorHAnsi" w:cstheme="majorHAnsi"/>
          <w:sz w:val="20"/>
          <w:szCs w:val="20"/>
        </w:rPr>
        <w:t>, Consanguinity among the Saudi Arabian Population, Journal of Medical Genetics 32(8) (1995) pp. 623-626.</w:t>
      </w:r>
    </w:p>
    <w:p w14:paraId="5CBA1FA0" w14:textId="5B6D9B22" w:rsidR="000B7038" w:rsidRPr="006E2F41" w:rsidRDefault="000B7038" w:rsidP="003A25C7">
      <w:pPr>
        <w:bidi w:val="0"/>
        <w:jc w:val="both"/>
        <w:rPr>
          <w:rFonts w:asciiTheme="majorHAnsi" w:hAnsiTheme="majorHAnsi" w:cstheme="majorHAnsi"/>
          <w:sz w:val="20"/>
          <w:szCs w:val="20"/>
        </w:rPr>
      </w:pPr>
      <w:r w:rsidRPr="006E2F41">
        <w:rPr>
          <w:rFonts w:asciiTheme="majorHAnsi" w:hAnsiTheme="majorHAnsi" w:cstheme="majorHAnsi"/>
          <w:sz w:val="20"/>
          <w:szCs w:val="20"/>
        </w:rPr>
        <w:t>[2]</w:t>
      </w:r>
      <w:r w:rsidRPr="006E2F41">
        <w:rPr>
          <w:sz w:val="20"/>
          <w:szCs w:val="20"/>
        </w:rPr>
        <w:t xml:space="preserve"> </w:t>
      </w:r>
      <w:r w:rsidR="00A16BBF" w:rsidRPr="006E2F41">
        <w:rPr>
          <w:rFonts w:asciiTheme="majorHAnsi" w:hAnsiTheme="majorHAnsi" w:cstheme="majorHAnsi"/>
          <w:sz w:val="20"/>
          <w:szCs w:val="20"/>
        </w:rPr>
        <w:t xml:space="preserve">Y. </w:t>
      </w:r>
      <w:r w:rsidRPr="006E2F41">
        <w:rPr>
          <w:rFonts w:asciiTheme="majorHAnsi" w:hAnsiTheme="majorHAnsi" w:cstheme="majorHAnsi"/>
          <w:sz w:val="20"/>
          <w:szCs w:val="20"/>
        </w:rPr>
        <w:t xml:space="preserve">Khubrani; </w:t>
      </w:r>
      <w:r w:rsidR="00A16BBF" w:rsidRPr="006E2F41">
        <w:rPr>
          <w:rFonts w:asciiTheme="majorHAnsi" w:hAnsiTheme="majorHAnsi" w:cstheme="majorHAnsi"/>
          <w:sz w:val="20"/>
          <w:szCs w:val="20"/>
        </w:rPr>
        <w:t xml:space="preserve">J. </w:t>
      </w:r>
      <w:r w:rsidRPr="006E2F41">
        <w:rPr>
          <w:rFonts w:asciiTheme="majorHAnsi" w:hAnsiTheme="majorHAnsi" w:cstheme="majorHAnsi"/>
          <w:sz w:val="20"/>
          <w:szCs w:val="20"/>
        </w:rPr>
        <w:t xml:space="preserve">Wetton and </w:t>
      </w:r>
      <w:r w:rsidR="00A16BBF" w:rsidRPr="006E2F41">
        <w:rPr>
          <w:rFonts w:asciiTheme="majorHAnsi" w:hAnsiTheme="majorHAnsi" w:cstheme="majorHAnsi"/>
          <w:sz w:val="20"/>
          <w:szCs w:val="20"/>
        </w:rPr>
        <w:t xml:space="preserve">M. Jobling, </w:t>
      </w:r>
      <w:r w:rsidRPr="006E2F41">
        <w:rPr>
          <w:rFonts w:asciiTheme="majorHAnsi" w:hAnsiTheme="majorHAnsi" w:cstheme="majorHAnsi"/>
          <w:sz w:val="20"/>
          <w:szCs w:val="20"/>
        </w:rPr>
        <w:t xml:space="preserve">Analysis of 21 Autosomal STRs in Saudi Arabia Reveals Population Structure and the Influence of Consanguinity, Forensic Science International: Genetics, 39, </w:t>
      </w:r>
      <w:r w:rsidR="00A16BBF" w:rsidRPr="006E2F41">
        <w:rPr>
          <w:rFonts w:asciiTheme="majorHAnsi" w:hAnsiTheme="majorHAnsi" w:cstheme="majorHAnsi"/>
          <w:sz w:val="20"/>
          <w:szCs w:val="20"/>
        </w:rPr>
        <w:t xml:space="preserve">(2019) </w:t>
      </w:r>
      <w:r w:rsidRPr="006E2F41">
        <w:rPr>
          <w:rFonts w:asciiTheme="majorHAnsi" w:hAnsiTheme="majorHAnsi" w:cstheme="majorHAnsi"/>
          <w:sz w:val="20"/>
          <w:szCs w:val="20"/>
        </w:rPr>
        <w:t>pp. 97-102.</w:t>
      </w:r>
    </w:p>
    <w:p w14:paraId="1AD787F9" w14:textId="77777777" w:rsidR="006E2F41" w:rsidRDefault="006E2F41" w:rsidP="006917D1">
      <w:pPr>
        <w:bidi w:val="0"/>
        <w:jc w:val="both"/>
        <w:rPr>
          <w:rFonts w:asciiTheme="majorHAnsi" w:hAnsiTheme="majorHAnsi" w:cstheme="majorHAnsi"/>
          <w:sz w:val="20"/>
          <w:szCs w:val="20"/>
        </w:rPr>
      </w:pPr>
      <w:r w:rsidRPr="006E2F41">
        <w:rPr>
          <w:rFonts w:asciiTheme="majorHAnsi" w:hAnsiTheme="majorHAnsi" w:cstheme="majorHAnsi"/>
          <w:sz w:val="20"/>
          <w:szCs w:val="20"/>
        </w:rPr>
        <w:t>[</w:t>
      </w:r>
      <w:r>
        <w:rPr>
          <w:rFonts w:asciiTheme="majorHAnsi" w:hAnsiTheme="majorHAnsi" w:cstheme="majorHAnsi"/>
          <w:sz w:val="20"/>
          <w:szCs w:val="20"/>
        </w:rPr>
        <w:t>3</w:t>
      </w:r>
      <w:r w:rsidRPr="006E2F41">
        <w:rPr>
          <w:rFonts w:asciiTheme="majorHAnsi" w:hAnsiTheme="majorHAnsi" w:cstheme="majorHAnsi"/>
          <w:sz w:val="20"/>
          <w:szCs w:val="20"/>
        </w:rPr>
        <w:t xml:space="preserve">] H. Alsafiah; A. Aljanabi; S. Hadi; S. </w:t>
      </w:r>
      <w:proofErr w:type="spellStart"/>
      <w:r w:rsidRPr="006E2F41">
        <w:rPr>
          <w:rFonts w:asciiTheme="majorHAnsi" w:hAnsiTheme="majorHAnsi" w:cstheme="majorHAnsi"/>
          <w:sz w:val="20"/>
          <w:szCs w:val="20"/>
        </w:rPr>
        <w:t>Alturayeif</w:t>
      </w:r>
      <w:proofErr w:type="spellEnd"/>
      <w:r w:rsidRPr="006E2F41">
        <w:rPr>
          <w:rFonts w:asciiTheme="majorHAnsi" w:hAnsiTheme="majorHAnsi" w:cstheme="majorHAnsi"/>
          <w:sz w:val="20"/>
          <w:szCs w:val="20"/>
        </w:rPr>
        <w:t xml:space="preserve"> and W. Goodwin, An Evaluation of the SureID 23comp Human Identification Kit for Kinship Testing, Scientific Reports, 9 (1) (2019) pp. 16859. </w:t>
      </w:r>
    </w:p>
    <w:p w14:paraId="7A459F05" w14:textId="5B851084" w:rsidR="006917D1" w:rsidRPr="006E2F41" w:rsidRDefault="001E350A" w:rsidP="006E2F41">
      <w:pPr>
        <w:bidi w:val="0"/>
        <w:jc w:val="both"/>
        <w:rPr>
          <w:rFonts w:asciiTheme="majorHAnsi" w:hAnsiTheme="majorHAnsi" w:cstheme="majorHAnsi"/>
          <w:sz w:val="20"/>
          <w:szCs w:val="20"/>
        </w:rPr>
      </w:pPr>
      <w:r w:rsidRPr="006E2F41">
        <w:rPr>
          <w:rFonts w:asciiTheme="majorHAnsi" w:hAnsiTheme="majorHAnsi" w:cstheme="majorHAnsi"/>
          <w:sz w:val="20"/>
          <w:szCs w:val="20"/>
        </w:rPr>
        <w:t>[</w:t>
      </w:r>
      <w:r w:rsidR="006E2F41">
        <w:rPr>
          <w:rFonts w:asciiTheme="majorHAnsi" w:hAnsiTheme="majorHAnsi" w:cstheme="majorHAnsi"/>
          <w:sz w:val="20"/>
          <w:szCs w:val="20"/>
        </w:rPr>
        <w:t>4</w:t>
      </w:r>
      <w:r w:rsidRPr="006E2F41">
        <w:rPr>
          <w:rFonts w:asciiTheme="majorHAnsi" w:hAnsiTheme="majorHAnsi" w:cstheme="majorHAnsi"/>
          <w:sz w:val="20"/>
          <w:szCs w:val="20"/>
        </w:rPr>
        <w:t xml:space="preserve">] </w:t>
      </w:r>
      <w:r w:rsidR="006917D1" w:rsidRPr="006E2F41">
        <w:rPr>
          <w:rFonts w:asciiTheme="majorHAnsi" w:hAnsiTheme="majorHAnsi" w:cstheme="majorHAnsi"/>
          <w:sz w:val="20"/>
          <w:szCs w:val="20"/>
        </w:rPr>
        <w:t xml:space="preserve">H. Alsafiah; W. Goodwin; S. Hadi; M. </w:t>
      </w:r>
      <w:proofErr w:type="spellStart"/>
      <w:r w:rsidR="006917D1" w:rsidRPr="006E2F41">
        <w:rPr>
          <w:rFonts w:asciiTheme="majorHAnsi" w:hAnsiTheme="majorHAnsi" w:cstheme="majorHAnsi"/>
          <w:sz w:val="20"/>
          <w:szCs w:val="20"/>
        </w:rPr>
        <w:t>Alshaikhi</w:t>
      </w:r>
      <w:proofErr w:type="spellEnd"/>
      <w:r w:rsidR="006917D1" w:rsidRPr="006E2F41">
        <w:rPr>
          <w:rFonts w:asciiTheme="majorHAnsi" w:hAnsiTheme="majorHAnsi" w:cstheme="majorHAnsi"/>
          <w:sz w:val="20"/>
          <w:szCs w:val="20"/>
        </w:rPr>
        <w:t xml:space="preserve"> and P. Wepeba, Population Genetic Data for 21 Autosomal STR Loci for the Saudi Arabian Population using the GlobalFiler® PCR Amplification Kit, Forensic Science International: Genetics, 31 (Supplement C) (2017) pp. e59-e61.</w:t>
      </w:r>
    </w:p>
    <w:p w14:paraId="3BFDBB60" w14:textId="77777777" w:rsidR="00690473" w:rsidRPr="006E2F41" w:rsidRDefault="00690473" w:rsidP="00690473">
      <w:pPr>
        <w:bidi w:val="0"/>
        <w:jc w:val="both"/>
        <w:rPr>
          <w:rFonts w:asciiTheme="majorHAnsi" w:hAnsiTheme="majorHAnsi" w:cstheme="majorHAnsi"/>
          <w:sz w:val="20"/>
          <w:szCs w:val="20"/>
        </w:rPr>
      </w:pPr>
      <w:r w:rsidRPr="006E2F41">
        <w:rPr>
          <w:rFonts w:asciiTheme="majorHAnsi" w:hAnsiTheme="majorHAnsi" w:cstheme="majorHAnsi"/>
          <w:sz w:val="20"/>
          <w:szCs w:val="20"/>
        </w:rPr>
        <w:t xml:space="preserve">[5] A. </w:t>
      </w:r>
      <w:proofErr w:type="spellStart"/>
      <w:r w:rsidRPr="006E2F41">
        <w:rPr>
          <w:rFonts w:asciiTheme="majorHAnsi" w:hAnsiTheme="majorHAnsi" w:cstheme="majorHAnsi"/>
          <w:sz w:val="20"/>
          <w:szCs w:val="20"/>
        </w:rPr>
        <w:t>Auton</w:t>
      </w:r>
      <w:proofErr w:type="spellEnd"/>
      <w:r w:rsidRPr="006E2F41">
        <w:rPr>
          <w:rFonts w:asciiTheme="majorHAnsi" w:hAnsiTheme="majorHAnsi" w:cstheme="majorHAnsi"/>
          <w:sz w:val="20"/>
          <w:szCs w:val="20"/>
        </w:rPr>
        <w:t xml:space="preserve">; G. R. </w:t>
      </w:r>
      <w:proofErr w:type="spellStart"/>
      <w:r w:rsidRPr="006E2F41">
        <w:rPr>
          <w:rFonts w:asciiTheme="majorHAnsi" w:hAnsiTheme="majorHAnsi" w:cstheme="majorHAnsi"/>
          <w:sz w:val="20"/>
          <w:szCs w:val="20"/>
        </w:rPr>
        <w:t>Abecasis</w:t>
      </w:r>
      <w:proofErr w:type="spellEnd"/>
      <w:r w:rsidRPr="006E2F41">
        <w:rPr>
          <w:rFonts w:asciiTheme="majorHAnsi" w:hAnsiTheme="majorHAnsi" w:cstheme="majorHAnsi"/>
          <w:sz w:val="20"/>
          <w:szCs w:val="20"/>
        </w:rPr>
        <w:t xml:space="preserve">; D. M. </w:t>
      </w:r>
      <w:proofErr w:type="spellStart"/>
      <w:r w:rsidRPr="006E2F41">
        <w:rPr>
          <w:rFonts w:asciiTheme="majorHAnsi" w:hAnsiTheme="majorHAnsi" w:cstheme="majorHAnsi"/>
          <w:sz w:val="20"/>
          <w:szCs w:val="20"/>
        </w:rPr>
        <w:t>Altshuler</w:t>
      </w:r>
      <w:proofErr w:type="spellEnd"/>
      <w:r w:rsidRPr="006E2F41">
        <w:rPr>
          <w:rFonts w:asciiTheme="majorHAnsi" w:hAnsiTheme="majorHAnsi" w:cstheme="majorHAnsi"/>
          <w:sz w:val="20"/>
          <w:szCs w:val="20"/>
        </w:rPr>
        <w:t xml:space="preserve">; </w:t>
      </w:r>
      <w:r w:rsidRPr="006E2F41">
        <w:rPr>
          <w:rFonts w:asciiTheme="majorHAnsi" w:hAnsiTheme="majorHAnsi" w:cstheme="majorHAnsi"/>
          <w:i/>
          <w:iCs/>
          <w:sz w:val="20"/>
          <w:szCs w:val="20"/>
        </w:rPr>
        <w:t>et al.</w:t>
      </w:r>
      <w:r w:rsidRPr="006E2F41">
        <w:rPr>
          <w:rFonts w:asciiTheme="majorHAnsi" w:hAnsiTheme="majorHAnsi" w:cstheme="majorHAnsi"/>
          <w:sz w:val="20"/>
          <w:szCs w:val="20"/>
        </w:rPr>
        <w:t>, A Global Reference for Human Genetic Variation, Nature, 526 (7571) (2015) pp. 68-74.</w:t>
      </w:r>
    </w:p>
    <w:p w14:paraId="5F4E204B" w14:textId="01AAF54F" w:rsidR="00690473" w:rsidRDefault="001E350A" w:rsidP="006917D1">
      <w:pPr>
        <w:bidi w:val="0"/>
        <w:jc w:val="both"/>
        <w:rPr>
          <w:rFonts w:asciiTheme="majorHAnsi" w:hAnsiTheme="majorHAnsi" w:cstheme="majorHAnsi"/>
          <w:sz w:val="20"/>
          <w:szCs w:val="20"/>
        </w:rPr>
      </w:pPr>
      <w:r w:rsidRPr="006E2F41">
        <w:rPr>
          <w:rFonts w:asciiTheme="majorHAnsi" w:hAnsiTheme="majorHAnsi" w:cstheme="majorHAnsi"/>
          <w:sz w:val="20"/>
          <w:szCs w:val="20"/>
        </w:rPr>
        <w:t>[</w:t>
      </w:r>
      <w:r w:rsidR="00690473" w:rsidRPr="006E2F41">
        <w:rPr>
          <w:rFonts w:asciiTheme="majorHAnsi" w:hAnsiTheme="majorHAnsi" w:cstheme="majorHAnsi"/>
          <w:sz w:val="20"/>
          <w:szCs w:val="20"/>
        </w:rPr>
        <w:t>6</w:t>
      </w:r>
      <w:r w:rsidRPr="006E2F41">
        <w:rPr>
          <w:rFonts w:asciiTheme="majorHAnsi" w:hAnsiTheme="majorHAnsi" w:cstheme="majorHAnsi"/>
          <w:sz w:val="20"/>
          <w:szCs w:val="20"/>
        </w:rPr>
        <w:t xml:space="preserve">] </w:t>
      </w:r>
      <w:r w:rsidR="000E4BF1" w:rsidRPr="006E2F41">
        <w:rPr>
          <w:rFonts w:asciiTheme="majorHAnsi" w:hAnsiTheme="majorHAnsi" w:cstheme="majorHAnsi"/>
          <w:sz w:val="20"/>
          <w:szCs w:val="20"/>
        </w:rPr>
        <w:t xml:space="preserve">S. </w:t>
      </w:r>
      <w:r w:rsidRPr="006E2F41">
        <w:rPr>
          <w:rFonts w:asciiTheme="majorHAnsi" w:hAnsiTheme="majorHAnsi" w:cstheme="majorHAnsi"/>
          <w:sz w:val="20"/>
          <w:szCs w:val="20"/>
        </w:rPr>
        <w:t xml:space="preserve">Iyavoo; </w:t>
      </w:r>
      <w:r w:rsidR="000E4BF1" w:rsidRPr="006E2F41">
        <w:rPr>
          <w:rFonts w:asciiTheme="majorHAnsi" w:hAnsiTheme="majorHAnsi" w:cstheme="majorHAnsi"/>
          <w:sz w:val="20"/>
          <w:szCs w:val="20"/>
        </w:rPr>
        <w:t xml:space="preserve">O. </w:t>
      </w:r>
      <w:r w:rsidRPr="006E2F41">
        <w:rPr>
          <w:rFonts w:asciiTheme="majorHAnsi" w:hAnsiTheme="majorHAnsi" w:cstheme="majorHAnsi"/>
          <w:sz w:val="20"/>
          <w:szCs w:val="20"/>
        </w:rPr>
        <w:t xml:space="preserve">Afolabi; </w:t>
      </w:r>
      <w:r w:rsidR="000E4BF1" w:rsidRPr="006E2F41">
        <w:rPr>
          <w:rFonts w:asciiTheme="majorHAnsi" w:hAnsiTheme="majorHAnsi" w:cstheme="majorHAnsi"/>
          <w:sz w:val="20"/>
          <w:szCs w:val="20"/>
        </w:rPr>
        <w:t xml:space="preserve">B. </w:t>
      </w:r>
      <w:proofErr w:type="spellStart"/>
      <w:r w:rsidRPr="006E2F41">
        <w:rPr>
          <w:rFonts w:asciiTheme="majorHAnsi" w:hAnsiTheme="majorHAnsi" w:cstheme="majorHAnsi"/>
          <w:sz w:val="20"/>
          <w:szCs w:val="20"/>
        </w:rPr>
        <w:t>Boggi</w:t>
      </w:r>
      <w:proofErr w:type="spellEnd"/>
      <w:r w:rsidRPr="006E2F41">
        <w:rPr>
          <w:rFonts w:asciiTheme="majorHAnsi" w:hAnsiTheme="majorHAnsi" w:cstheme="majorHAnsi"/>
          <w:sz w:val="20"/>
          <w:szCs w:val="20"/>
        </w:rPr>
        <w:t xml:space="preserve">; </w:t>
      </w:r>
      <w:r w:rsidR="00D46F31" w:rsidRPr="006E2F41">
        <w:rPr>
          <w:rFonts w:asciiTheme="majorHAnsi" w:hAnsiTheme="majorHAnsi" w:cstheme="majorHAnsi"/>
          <w:sz w:val="20"/>
          <w:szCs w:val="20"/>
        </w:rPr>
        <w:t xml:space="preserve">A. </w:t>
      </w:r>
      <w:proofErr w:type="spellStart"/>
      <w:r w:rsidRPr="006E2F41">
        <w:rPr>
          <w:rFonts w:asciiTheme="majorHAnsi" w:hAnsiTheme="majorHAnsi" w:cstheme="majorHAnsi"/>
          <w:sz w:val="20"/>
          <w:szCs w:val="20"/>
        </w:rPr>
        <w:t>Bernotaite</w:t>
      </w:r>
      <w:proofErr w:type="spellEnd"/>
      <w:r w:rsidRPr="006E2F41">
        <w:rPr>
          <w:rFonts w:asciiTheme="majorHAnsi" w:hAnsiTheme="majorHAnsi" w:cstheme="majorHAnsi"/>
          <w:sz w:val="20"/>
          <w:szCs w:val="20"/>
        </w:rPr>
        <w:t xml:space="preserve"> and </w:t>
      </w:r>
      <w:r w:rsidR="00D46F31" w:rsidRPr="006E2F41">
        <w:rPr>
          <w:rFonts w:asciiTheme="majorHAnsi" w:hAnsiTheme="majorHAnsi" w:cstheme="majorHAnsi"/>
          <w:sz w:val="20"/>
          <w:szCs w:val="20"/>
        </w:rPr>
        <w:t xml:space="preserve">T. </w:t>
      </w:r>
      <w:proofErr w:type="spellStart"/>
      <w:r w:rsidRPr="006E2F41">
        <w:rPr>
          <w:rFonts w:asciiTheme="majorHAnsi" w:hAnsiTheme="majorHAnsi" w:cstheme="majorHAnsi"/>
          <w:sz w:val="20"/>
          <w:szCs w:val="20"/>
        </w:rPr>
        <w:t>Haizel</w:t>
      </w:r>
      <w:proofErr w:type="spellEnd"/>
      <w:r w:rsidR="00D46F31" w:rsidRPr="006E2F41">
        <w:rPr>
          <w:rFonts w:asciiTheme="majorHAnsi" w:hAnsiTheme="majorHAnsi" w:cstheme="majorHAnsi"/>
          <w:sz w:val="20"/>
          <w:szCs w:val="20"/>
        </w:rPr>
        <w:t xml:space="preserve">, </w:t>
      </w:r>
      <w:r w:rsidRPr="006E2F41">
        <w:rPr>
          <w:rFonts w:asciiTheme="majorHAnsi" w:hAnsiTheme="majorHAnsi" w:cstheme="majorHAnsi"/>
          <w:sz w:val="20"/>
          <w:szCs w:val="20"/>
        </w:rPr>
        <w:t>Population Genetics Data for 22 Autosomal STR Loci in European, South Asian and African Populations using SureID® 23comp Human DNA Identification Kit, Forensic Science International, 301</w:t>
      </w:r>
      <w:r w:rsidR="00D46F31" w:rsidRPr="006E2F41">
        <w:rPr>
          <w:rFonts w:asciiTheme="majorHAnsi" w:hAnsiTheme="majorHAnsi" w:cstheme="majorHAnsi"/>
          <w:sz w:val="20"/>
          <w:szCs w:val="20"/>
        </w:rPr>
        <w:t xml:space="preserve"> (2019)</w:t>
      </w:r>
      <w:r w:rsidRPr="006E2F41">
        <w:rPr>
          <w:rFonts w:asciiTheme="majorHAnsi" w:hAnsiTheme="majorHAnsi" w:cstheme="majorHAnsi"/>
          <w:sz w:val="20"/>
          <w:szCs w:val="20"/>
        </w:rPr>
        <w:t xml:space="preserve"> pp. 174-181.</w:t>
      </w:r>
    </w:p>
    <w:p w14:paraId="16918F86" w14:textId="77777777" w:rsidR="00293903" w:rsidRPr="006E2F41" w:rsidRDefault="00293903" w:rsidP="00293903">
      <w:pPr>
        <w:bidi w:val="0"/>
        <w:jc w:val="both"/>
        <w:rPr>
          <w:rFonts w:asciiTheme="majorHAnsi" w:hAnsiTheme="majorHAnsi" w:cstheme="majorHAnsi"/>
          <w:sz w:val="20"/>
          <w:szCs w:val="20"/>
        </w:rPr>
      </w:pPr>
    </w:p>
    <w:sectPr w:rsidR="00293903" w:rsidRPr="006E2F41">
      <w:pgSz w:w="11906" w:h="16838"/>
      <w:pgMar w:top="1440" w:right="1440" w:bottom="1440" w:left="1440"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B02E" w14:textId="77777777" w:rsidR="00323538" w:rsidRDefault="00323538">
      <w:pPr>
        <w:spacing w:after="0" w:line="240" w:lineRule="auto"/>
      </w:pPr>
      <w:r>
        <w:separator/>
      </w:r>
    </w:p>
  </w:endnote>
  <w:endnote w:type="continuationSeparator" w:id="0">
    <w:p w14:paraId="1F83DF45" w14:textId="77777777" w:rsidR="00323538" w:rsidRDefault="0032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BE5E" w14:textId="77777777" w:rsidR="00323538" w:rsidRDefault="00323538">
      <w:pPr>
        <w:spacing w:after="0" w:line="240" w:lineRule="auto"/>
      </w:pPr>
      <w:r>
        <w:rPr>
          <w:color w:val="000000"/>
        </w:rPr>
        <w:separator/>
      </w:r>
    </w:p>
  </w:footnote>
  <w:footnote w:type="continuationSeparator" w:id="0">
    <w:p w14:paraId="7518C4DB" w14:textId="77777777" w:rsidR="00323538" w:rsidRDefault="00323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3DF8"/>
    <w:multiLevelType w:val="hybridMultilevel"/>
    <w:tmpl w:val="28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6751E"/>
    <w:multiLevelType w:val="hybridMultilevel"/>
    <w:tmpl w:val="62B2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3E"/>
    <w:rsid w:val="0006038C"/>
    <w:rsid w:val="000B2CF6"/>
    <w:rsid w:val="000B7038"/>
    <w:rsid w:val="000C37CC"/>
    <w:rsid w:val="000C3E4E"/>
    <w:rsid w:val="000D48BE"/>
    <w:rsid w:val="000E413E"/>
    <w:rsid w:val="000E4BF1"/>
    <w:rsid w:val="0011067E"/>
    <w:rsid w:val="001165E9"/>
    <w:rsid w:val="001514AF"/>
    <w:rsid w:val="001723C1"/>
    <w:rsid w:val="00180358"/>
    <w:rsid w:val="00194654"/>
    <w:rsid w:val="001C029F"/>
    <w:rsid w:val="001E1C4A"/>
    <w:rsid w:val="001E350A"/>
    <w:rsid w:val="00215706"/>
    <w:rsid w:val="002172BB"/>
    <w:rsid w:val="00240394"/>
    <w:rsid w:val="00261D98"/>
    <w:rsid w:val="00281076"/>
    <w:rsid w:val="00293903"/>
    <w:rsid w:val="002A3A04"/>
    <w:rsid w:val="002A5494"/>
    <w:rsid w:val="00323538"/>
    <w:rsid w:val="0032755A"/>
    <w:rsid w:val="0034552A"/>
    <w:rsid w:val="00362BE1"/>
    <w:rsid w:val="00392A90"/>
    <w:rsid w:val="003A25C7"/>
    <w:rsid w:val="003A260A"/>
    <w:rsid w:val="003A508D"/>
    <w:rsid w:val="003B22AC"/>
    <w:rsid w:val="003B49F3"/>
    <w:rsid w:val="004522BB"/>
    <w:rsid w:val="004641C6"/>
    <w:rsid w:val="004D64F4"/>
    <w:rsid w:val="004D7C10"/>
    <w:rsid w:val="00516893"/>
    <w:rsid w:val="00526298"/>
    <w:rsid w:val="00540808"/>
    <w:rsid w:val="00543BA1"/>
    <w:rsid w:val="00567F6A"/>
    <w:rsid w:val="00576904"/>
    <w:rsid w:val="005B2CEB"/>
    <w:rsid w:val="005D442E"/>
    <w:rsid w:val="005D7148"/>
    <w:rsid w:val="005F688F"/>
    <w:rsid w:val="0067082E"/>
    <w:rsid w:val="00673A69"/>
    <w:rsid w:val="00690473"/>
    <w:rsid w:val="006917D1"/>
    <w:rsid w:val="006A5D07"/>
    <w:rsid w:val="006E2F41"/>
    <w:rsid w:val="006F1B70"/>
    <w:rsid w:val="00712485"/>
    <w:rsid w:val="00716486"/>
    <w:rsid w:val="007178B6"/>
    <w:rsid w:val="00723E05"/>
    <w:rsid w:val="00726E9F"/>
    <w:rsid w:val="00737BFD"/>
    <w:rsid w:val="00750818"/>
    <w:rsid w:val="00792ABA"/>
    <w:rsid w:val="007A2EBC"/>
    <w:rsid w:val="008B195D"/>
    <w:rsid w:val="00901F0E"/>
    <w:rsid w:val="00917227"/>
    <w:rsid w:val="009366AE"/>
    <w:rsid w:val="0095076D"/>
    <w:rsid w:val="00981696"/>
    <w:rsid w:val="009C066D"/>
    <w:rsid w:val="009C097B"/>
    <w:rsid w:val="00A13C2F"/>
    <w:rsid w:val="00A16BBF"/>
    <w:rsid w:val="00A37E5D"/>
    <w:rsid w:val="00A4760D"/>
    <w:rsid w:val="00AA2D88"/>
    <w:rsid w:val="00B04B57"/>
    <w:rsid w:val="00B23DFE"/>
    <w:rsid w:val="00B34BCB"/>
    <w:rsid w:val="00B4395B"/>
    <w:rsid w:val="00BE30B1"/>
    <w:rsid w:val="00BE5B72"/>
    <w:rsid w:val="00C25225"/>
    <w:rsid w:val="00C344C4"/>
    <w:rsid w:val="00C36B8B"/>
    <w:rsid w:val="00C36FB8"/>
    <w:rsid w:val="00C74E36"/>
    <w:rsid w:val="00C906E3"/>
    <w:rsid w:val="00CC469D"/>
    <w:rsid w:val="00CF11E9"/>
    <w:rsid w:val="00CF2F3E"/>
    <w:rsid w:val="00CF2F78"/>
    <w:rsid w:val="00D0689A"/>
    <w:rsid w:val="00D40917"/>
    <w:rsid w:val="00D427FB"/>
    <w:rsid w:val="00D46F31"/>
    <w:rsid w:val="00D477D0"/>
    <w:rsid w:val="00D47AD5"/>
    <w:rsid w:val="00D673D9"/>
    <w:rsid w:val="00D856D1"/>
    <w:rsid w:val="00DF551B"/>
    <w:rsid w:val="00E11272"/>
    <w:rsid w:val="00E34D6A"/>
    <w:rsid w:val="00EB4F84"/>
    <w:rsid w:val="00ED5BE6"/>
    <w:rsid w:val="00F04039"/>
    <w:rsid w:val="00F0627C"/>
    <w:rsid w:val="00F170F5"/>
    <w:rsid w:val="00F23652"/>
    <w:rsid w:val="00F26293"/>
    <w:rsid w:val="00F35CD8"/>
    <w:rsid w:val="00F539DA"/>
    <w:rsid w:val="00F84E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C772"/>
  <w15:docId w15:val="{F7E61DDD-5458-4800-A78B-E027F8EE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3B22AC"/>
  </w:style>
  <w:style w:type="paragraph" w:styleId="ListParagraph">
    <w:name w:val="List Paragraph"/>
    <w:basedOn w:val="Normal"/>
    <w:uiPriority w:val="34"/>
    <w:qFormat/>
    <w:rsid w:val="00362BE1"/>
    <w:pPr>
      <w:ind w:left="720"/>
      <w:contextualSpacing/>
    </w:pPr>
  </w:style>
  <w:style w:type="character" w:styleId="Hyperlink">
    <w:name w:val="Hyperlink"/>
    <w:basedOn w:val="DefaultParagraphFont"/>
    <w:uiPriority w:val="99"/>
    <w:unhideWhenUsed/>
    <w:rsid w:val="00567F6A"/>
    <w:rPr>
      <w:color w:val="0563C1" w:themeColor="hyperlink"/>
      <w:u w:val="single"/>
    </w:rPr>
  </w:style>
  <w:style w:type="character" w:styleId="UnresolvedMention">
    <w:name w:val="Unresolved Mention"/>
    <w:basedOn w:val="DefaultParagraphFont"/>
    <w:uiPriority w:val="99"/>
    <w:semiHidden/>
    <w:unhideWhenUsed/>
    <w:rsid w:val="00567F6A"/>
    <w:rPr>
      <w:color w:val="605E5C"/>
      <w:shd w:val="clear" w:color="auto" w:fill="E1DFDD"/>
    </w:rPr>
  </w:style>
  <w:style w:type="character" w:styleId="CommentReference">
    <w:name w:val="annotation reference"/>
    <w:basedOn w:val="DefaultParagraphFont"/>
    <w:uiPriority w:val="99"/>
    <w:semiHidden/>
    <w:unhideWhenUsed/>
    <w:rsid w:val="00A4760D"/>
    <w:rPr>
      <w:sz w:val="16"/>
      <w:szCs w:val="16"/>
    </w:rPr>
  </w:style>
  <w:style w:type="paragraph" w:styleId="CommentText">
    <w:name w:val="annotation text"/>
    <w:basedOn w:val="Normal"/>
    <w:link w:val="CommentTextChar"/>
    <w:uiPriority w:val="99"/>
    <w:semiHidden/>
    <w:unhideWhenUsed/>
    <w:rsid w:val="00A4760D"/>
    <w:pPr>
      <w:spacing w:line="240" w:lineRule="auto"/>
    </w:pPr>
    <w:rPr>
      <w:sz w:val="20"/>
      <w:szCs w:val="20"/>
    </w:rPr>
  </w:style>
  <w:style w:type="character" w:customStyle="1" w:styleId="CommentTextChar">
    <w:name w:val="Comment Text Char"/>
    <w:basedOn w:val="DefaultParagraphFont"/>
    <w:link w:val="CommentText"/>
    <w:uiPriority w:val="99"/>
    <w:semiHidden/>
    <w:rsid w:val="00A4760D"/>
    <w:rPr>
      <w:sz w:val="20"/>
      <w:szCs w:val="20"/>
    </w:rPr>
  </w:style>
  <w:style w:type="paragraph" w:styleId="CommentSubject">
    <w:name w:val="annotation subject"/>
    <w:basedOn w:val="CommentText"/>
    <w:next w:val="CommentText"/>
    <w:link w:val="CommentSubjectChar"/>
    <w:uiPriority w:val="99"/>
    <w:semiHidden/>
    <w:unhideWhenUsed/>
    <w:rsid w:val="00A4760D"/>
    <w:rPr>
      <w:b/>
      <w:bCs/>
    </w:rPr>
  </w:style>
  <w:style w:type="character" w:customStyle="1" w:styleId="CommentSubjectChar">
    <w:name w:val="Comment Subject Char"/>
    <w:basedOn w:val="CommentTextChar"/>
    <w:link w:val="CommentSubject"/>
    <w:uiPriority w:val="99"/>
    <w:semiHidden/>
    <w:rsid w:val="00A4760D"/>
    <w:rPr>
      <w:b/>
      <w:bCs/>
      <w:sz w:val="20"/>
      <w:szCs w:val="20"/>
    </w:rPr>
  </w:style>
  <w:style w:type="table" w:styleId="TableGrid">
    <w:name w:val="Table Grid"/>
    <w:basedOn w:val="TableNormal"/>
    <w:uiPriority w:val="39"/>
    <w:rsid w:val="009C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B57"/>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059">
      <w:bodyDiv w:val="1"/>
      <w:marLeft w:val="0"/>
      <w:marRight w:val="0"/>
      <w:marTop w:val="0"/>
      <w:marBottom w:val="0"/>
      <w:divBdr>
        <w:top w:val="none" w:sz="0" w:space="0" w:color="auto"/>
        <w:left w:val="none" w:sz="0" w:space="0" w:color="auto"/>
        <w:bottom w:val="none" w:sz="0" w:space="0" w:color="auto"/>
        <w:right w:val="none" w:sz="0" w:space="0" w:color="auto"/>
      </w:divBdr>
    </w:div>
    <w:div w:id="72898905">
      <w:bodyDiv w:val="1"/>
      <w:marLeft w:val="0"/>
      <w:marRight w:val="0"/>
      <w:marTop w:val="0"/>
      <w:marBottom w:val="0"/>
      <w:divBdr>
        <w:top w:val="none" w:sz="0" w:space="0" w:color="auto"/>
        <w:left w:val="none" w:sz="0" w:space="0" w:color="auto"/>
        <w:bottom w:val="none" w:sz="0" w:space="0" w:color="auto"/>
        <w:right w:val="none" w:sz="0" w:space="0" w:color="auto"/>
      </w:divBdr>
    </w:div>
    <w:div w:id="351028953">
      <w:bodyDiv w:val="1"/>
      <w:marLeft w:val="0"/>
      <w:marRight w:val="0"/>
      <w:marTop w:val="0"/>
      <w:marBottom w:val="0"/>
      <w:divBdr>
        <w:top w:val="none" w:sz="0" w:space="0" w:color="auto"/>
        <w:left w:val="none" w:sz="0" w:space="0" w:color="auto"/>
        <w:bottom w:val="none" w:sz="0" w:space="0" w:color="auto"/>
        <w:right w:val="none" w:sz="0" w:space="0" w:color="auto"/>
      </w:divBdr>
    </w:div>
    <w:div w:id="752505007">
      <w:bodyDiv w:val="1"/>
      <w:marLeft w:val="0"/>
      <w:marRight w:val="0"/>
      <w:marTop w:val="0"/>
      <w:marBottom w:val="0"/>
      <w:divBdr>
        <w:top w:val="none" w:sz="0" w:space="0" w:color="auto"/>
        <w:left w:val="none" w:sz="0" w:space="0" w:color="auto"/>
        <w:bottom w:val="none" w:sz="0" w:space="0" w:color="auto"/>
        <w:right w:val="none" w:sz="0" w:space="0" w:color="auto"/>
      </w:divBdr>
    </w:div>
    <w:div w:id="849948460">
      <w:bodyDiv w:val="1"/>
      <w:marLeft w:val="0"/>
      <w:marRight w:val="0"/>
      <w:marTop w:val="0"/>
      <w:marBottom w:val="0"/>
      <w:divBdr>
        <w:top w:val="none" w:sz="0" w:space="0" w:color="auto"/>
        <w:left w:val="none" w:sz="0" w:space="0" w:color="auto"/>
        <w:bottom w:val="none" w:sz="0" w:space="0" w:color="auto"/>
        <w:right w:val="none" w:sz="0" w:space="0" w:color="auto"/>
      </w:divBdr>
    </w:div>
    <w:div w:id="1044214032">
      <w:bodyDiv w:val="1"/>
      <w:marLeft w:val="0"/>
      <w:marRight w:val="0"/>
      <w:marTop w:val="0"/>
      <w:marBottom w:val="0"/>
      <w:divBdr>
        <w:top w:val="none" w:sz="0" w:space="0" w:color="auto"/>
        <w:left w:val="none" w:sz="0" w:space="0" w:color="auto"/>
        <w:bottom w:val="none" w:sz="0" w:space="0" w:color="auto"/>
        <w:right w:val="none" w:sz="0" w:space="0" w:color="auto"/>
      </w:divBdr>
    </w:div>
    <w:div w:id="1319579871">
      <w:bodyDiv w:val="1"/>
      <w:marLeft w:val="0"/>
      <w:marRight w:val="0"/>
      <w:marTop w:val="0"/>
      <w:marBottom w:val="0"/>
      <w:divBdr>
        <w:top w:val="none" w:sz="0" w:space="0" w:color="auto"/>
        <w:left w:val="none" w:sz="0" w:space="0" w:color="auto"/>
        <w:bottom w:val="none" w:sz="0" w:space="0" w:color="auto"/>
        <w:right w:val="none" w:sz="0" w:space="0" w:color="auto"/>
      </w:divBdr>
    </w:div>
    <w:div w:id="1347248239">
      <w:bodyDiv w:val="1"/>
      <w:marLeft w:val="0"/>
      <w:marRight w:val="0"/>
      <w:marTop w:val="0"/>
      <w:marBottom w:val="0"/>
      <w:divBdr>
        <w:top w:val="none" w:sz="0" w:space="0" w:color="auto"/>
        <w:left w:val="none" w:sz="0" w:space="0" w:color="auto"/>
        <w:bottom w:val="none" w:sz="0" w:space="0" w:color="auto"/>
        <w:right w:val="none" w:sz="0" w:space="0" w:color="auto"/>
      </w:divBdr>
      <w:divsChild>
        <w:div w:id="729840003">
          <w:marLeft w:val="547"/>
          <w:marRight w:val="0"/>
          <w:marTop w:val="0"/>
          <w:marBottom w:val="120"/>
          <w:divBdr>
            <w:top w:val="none" w:sz="0" w:space="0" w:color="auto"/>
            <w:left w:val="none" w:sz="0" w:space="0" w:color="auto"/>
            <w:bottom w:val="none" w:sz="0" w:space="0" w:color="auto"/>
            <w:right w:val="none" w:sz="0" w:space="0" w:color="auto"/>
          </w:divBdr>
        </w:div>
      </w:divsChild>
    </w:div>
    <w:div w:id="1569726648">
      <w:bodyDiv w:val="1"/>
      <w:marLeft w:val="0"/>
      <w:marRight w:val="0"/>
      <w:marTop w:val="0"/>
      <w:marBottom w:val="0"/>
      <w:divBdr>
        <w:top w:val="none" w:sz="0" w:space="0" w:color="auto"/>
        <w:left w:val="none" w:sz="0" w:space="0" w:color="auto"/>
        <w:bottom w:val="none" w:sz="0" w:space="0" w:color="auto"/>
        <w:right w:val="none" w:sz="0" w:space="0" w:color="auto"/>
      </w:divBdr>
    </w:div>
    <w:div w:id="1643920784">
      <w:bodyDiv w:val="1"/>
      <w:marLeft w:val="0"/>
      <w:marRight w:val="0"/>
      <w:marTop w:val="0"/>
      <w:marBottom w:val="0"/>
      <w:divBdr>
        <w:top w:val="none" w:sz="0" w:space="0" w:color="auto"/>
        <w:left w:val="none" w:sz="0" w:space="0" w:color="auto"/>
        <w:bottom w:val="none" w:sz="0" w:space="0" w:color="auto"/>
        <w:right w:val="none" w:sz="0" w:space="0" w:color="auto"/>
      </w:divBdr>
    </w:div>
    <w:div w:id="1711223038">
      <w:bodyDiv w:val="1"/>
      <w:marLeft w:val="0"/>
      <w:marRight w:val="0"/>
      <w:marTop w:val="0"/>
      <w:marBottom w:val="0"/>
      <w:divBdr>
        <w:top w:val="none" w:sz="0" w:space="0" w:color="auto"/>
        <w:left w:val="none" w:sz="0" w:space="0" w:color="auto"/>
        <w:bottom w:val="none" w:sz="0" w:space="0" w:color="auto"/>
        <w:right w:val="none" w:sz="0" w:space="0" w:color="auto"/>
      </w:divBdr>
    </w:div>
    <w:div w:id="1721903391">
      <w:bodyDiv w:val="1"/>
      <w:marLeft w:val="0"/>
      <w:marRight w:val="0"/>
      <w:marTop w:val="0"/>
      <w:marBottom w:val="0"/>
      <w:divBdr>
        <w:top w:val="none" w:sz="0" w:space="0" w:color="auto"/>
        <w:left w:val="none" w:sz="0" w:space="0" w:color="auto"/>
        <w:bottom w:val="none" w:sz="0" w:space="0" w:color="auto"/>
        <w:right w:val="none" w:sz="0" w:space="0" w:color="auto"/>
      </w:divBdr>
    </w:div>
    <w:div w:id="1904557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Hus19</b:Tag>
    <b:SourceType>JournalArticle</b:SourceType>
    <b:Guid>{1B5AEC75-2D7B-479D-AD6A-9AA3589D985A}</b:Guid>
    <b:Author>
      <b:Author>
        <b:NameList>
          <b:Person>
            <b:Last>Hussain M. Alsafiah</b:Last>
            <b:First>Ali</b:First>
            <b:Middle>A. Aljanabi, Sibte Hadi, Saleh S. Alturayeif &amp; William Goodwin</b:Middle>
          </b:Person>
        </b:NameList>
      </b:Author>
    </b:Author>
    <b:Title>An evaluation of the SureID 23comp Human Identification Kit for kinship testing</b:Title>
    <b:JournalName>Scientific Reports</b:JournalName>
    <b:Year>2019</b:Year>
    <b:RefOrder>1</b:RefOrder>
  </b:Source>
  <b:Source xmlns:b="http://schemas.openxmlformats.org/officeDocument/2006/bibliography" xmlns="http://schemas.openxmlformats.org/officeDocument/2006/bibliography">
    <b:Tag>Placeholder1</b:Tag>
    <b:RefOrder>2</b:RefOrder>
  </b:Source>
</b:Sources>
</file>

<file path=customXml/itemProps1.xml><?xml version="1.0" encoding="utf-8"?>
<ds:datastoreItem xmlns:ds="http://schemas.openxmlformats.org/officeDocument/2006/customXml" ds:itemID="{78FC4F47-C60F-4032-B394-276A2704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1232</Words>
  <Characters>7023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Alsafiah</dc:creator>
  <dc:description/>
  <cp:lastModifiedBy>William H Goodwin &lt;School of Natural Sciences&gt;</cp:lastModifiedBy>
  <cp:revision>2</cp:revision>
  <dcterms:created xsi:type="dcterms:W3CDTF">2022-10-31T16:13:00Z</dcterms:created>
  <dcterms:modified xsi:type="dcterms:W3CDTF">2022-10-31T16:13:00Z</dcterms:modified>
</cp:coreProperties>
</file>