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B4E0" w14:textId="7946838F" w:rsidR="00890D6C" w:rsidRDefault="00AA62F9">
      <w:r>
        <w:rPr>
          <w:noProof/>
        </w:rPr>
        <w:drawing>
          <wp:inline distT="0" distB="0" distL="0" distR="0" wp14:anchorId="3EC8052B" wp14:editId="6517D7F3">
            <wp:extent cx="5731510" cy="6254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0DB2" w14:textId="51F32787" w:rsidR="00C23CD5" w:rsidRDefault="00C23CD5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  <w:shd w:val="clear" w:color="auto" w:fill="FFFFFF"/>
        </w:rPr>
        <w:t>8.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Title of your Presentation</w:t>
      </w:r>
    </w:p>
    <w:p w14:paraId="7840511D" w14:textId="1CBB8F5C" w:rsidR="00C23CD5" w:rsidRPr="009502D9" w:rsidRDefault="00FF3337">
      <w:pPr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</w:t>
      </w:r>
      <w:r w:rsidR="009B55C4"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novel </w:t>
      </w:r>
      <w:r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use of</w:t>
      </w:r>
      <w:r w:rsidR="00146715"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interactive scenarios </w:t>
      </w:r>
      <w:r w:rsidR="00F07FC7"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for</w:t>
      </w:r>
      <w:r w:rsidR="00391BF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F538A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combining</w:t>
      </w:r>
      <w:r w:rsidR="009502D9" w:rsidRPr="009502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face to face and remote learning</w:t>
      </w:r>
      <w:r w:rsidR="00A23F3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: Thinglink</w:t>
      </w:r>
    </w:p>
    <w:p w14:paraId="257AB240" w14:textId="7CA9C907" w:rsidR="00835EAF" w:rsidRPr="00835EAF" w:rsidRDefault="00835EAF" w:rsidP="00835E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9. </w:t>
      </w:r>
      <w:r w:rsidRPr="00835EAF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Give a summary of your proposed presentation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. </w:t>
      </w:r>
    </w:p>
    <w:p w14:paraId="6F14FE17" w14:textId="74E3E516" w:rsidR="00835EAF" w:rsidRDefault="00835EAF" w:rsidP="00835EA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</w:pPr>
      <w:r w:rsidRPr="00835EAF"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  <w:t>Max, 300 words</w:t>
      </w:r>
    </w:p>
    <w:p w14:paraId="3752379D" w14:textId="6902BAAD" w:rsidR="00835EAF" w:rsidRDefault="00142DC2" w:rsidP="00372AEE">
      <w:pPr>
        <w:shd w:val="clear" w:color="auto" w:fill="FFFFFF"/>
        <w:spacing w:after="0" w:line="240" w:lineRule="auto"/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Covid</w:t>
      </w:r>
      <w:r w:rsidR="00F528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-</w:t>
      </w: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19 </w:t>
      </w:r>
      <w:r w:rsidR="00847F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has </w:t>
      </w: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presented many challenges</w:t>
      </w:r>
      <w:r w:rsidR="00F528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</w:t>
      </w:r>
      <w:r w:rsidR="00847F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h</w:t>
      </w:r>
      <w:r w:rsidR="00C4132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ow were we to provide a realistic </w:t>
      </w:r>
      <w:r w:rsidR="004E3DE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patient experience without patients and with some students learning remotely?</w:t>
      </w:r>
      <w:r w:rsidR="00E41BA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“Thinglink”</w:t>
      </w:r>
      <w:r w:rsidR="0048503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is an interactive, online platform</w:t>
      </w:r>
      <w:r w:rsidR="00E41BA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48503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that </w:t>
      </w:r>
      <w:r w:rsidR="0030449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has many benefits</w:t>
      </w:r>
      <w:r w:rsidR="001E1A2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;</w:t>
      </w:r>
      <w:r w:rsidR="0030449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audio, video, images a</w:t>
      </w:r>
      <w:r w:rsidR="001B496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nd</w:t>
      </w:r>
      <w:r w:rsidR="0030449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text can be embedded </w:t>
      </w:r>
      <w:r w:rsidR="006362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in a widescreen photograph with hotspots for the students to explore</w:t>
      </w:r>
      <w:r w:rsidR="004A561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</w:t>
      </w:r>
      <w:r w:rsidR="006362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discuss</w:t>
      </w:r>
      <w:r w:rsidR="004A561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and complete a patient </w:t>
      </w:r>
      <w:r w:rsidR="004A561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lastRenderedPageBreak/>
        <w:t xml:space="preserve">record card as they would for a real patient. </w:t>
      </w:r>
      <w:r w:rsidR="006362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Having video embedded allows the students to observe a patient</w:t>
      </w:r>
      <w:r w:rsidR="003D343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rather than simply reading a case scenario.</w:t>
      </w:r>
      <w:r w:rsidR="00664CD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B373D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When used within</w:t>
      </w:r>
      <w:r w:rsidR="00DC6E1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TEAMS, it was also possible to allow a mixed group of </w:t>
      </w:r>
      <w:r w:rsidR="00DF618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students </w:t>
      </w:r>
      <w:r w:rsidR="00DC6E1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on </w:t>
      </w:r>
      <w:r w:rsidR="00DF618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and off </w:t>
      </w:r>
      <w:r w:rsidR="00DC6E1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campus to </w:t>
      </w:r>
      <w:proofErr w:type="gramStart"/>
      <w:r w:rsidR="00DC6E1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collaborate</w:t>
      </w:r>
      <w:r w:rsidR="00B373D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together</w:t>
      </w:r>
      <w:proofErr w:type="gramEnd"/>
      <w:r w:rsidR="00B373D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  <w:r w:rsidR="003149E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The sessions were facilitated by members of staff using </w:t>
      </w:r>
      <w:r w:rsidR="00F100F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the “diamond”</w:t>
      </w:r>
      <w:r w:rsidR="00F100F9" w:rsidRPr="00F100F9">
        <w:rPr>
          <w:rFonts w:ascii="Segoe UI" w:hAnsi="Segoe UI" w:cs="Segoe UI"/>
          <w:color w:val="0070C0"/>
          <w:sz w:val="26"/>
          <w:szCs w:val="26"/>
          <w:shd w:val="clear" w:color="auto" w:fill="FFFFFF"/>
          <w:vertAlign w:val="superscript"/>
        </w:rPr>
        <w:t>1</w:t>
      </w:r>
      <w:r w:rsidR="00191AF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3149E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debrief to ensure </w:t>
      </w:r>
      <w:r w:rsidR="00FD3BF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consistency</w:t>
      </w:r>
      <w:r w:rsidR="003149E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and</w:t>
      </w:r>
      <w:r w:rsidR="00FD3BF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that</w:t>
      </w:r>
      <w:r w:rsidR="003149E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the learning outcomes were met.</w:t>
      </w:r>
      <w:r w:rsidR="00B373D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D35F8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The </w:t>
      </w:r>
      <w:r w:rsidR="00372DE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scenarios</w:t>
      </w:r>
      <w:r w:rsidR="00D35F8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also provided the </w:t>
      </w:r>
      <w:r w:rsidR="00372DE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benefit</w:t>
      </w:r>
      <w:r w:rsidR="00D35F8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of enabling the students to work through a variety of different </w:t>
      </w:r>
      <w:r w:rsidR="00372DE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pathologies and situations, which would not otherwise have been possible</w:t>
      </w:r>
      <w:r w:rsidR="009B50F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with real patients</w:t>
      </w:r>
      <w:r w:rsidR="00372DE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. </w:t>
      </w:r>
      <w:r w:rsidR="00E4180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Although initial</w:t>
      </w:r>
      <w:r w:rsidR="009A242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ly</w:t>
      </w:r>
      <w:r w:rsidR="00E4180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designed </w:t>
      </w:r>
      <w:r w:rsidR="003930A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for final year students </w:t>
      </w:r>
      <w:r w:rsidR="00E4180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to address the lack of real patients on campus, l </w:t>
      </w:r>
      <w:r w:rsidR="003930A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saw the potential of using the scenarios with the</w:t>
      </w:r>
      <w:r w:rsidR="00A0026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first years as a way of introducing them to </w:t>
      </w:r>
      <w:r w:rsidR="0008347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case-based </w:t>
      </w:r>
      <w:r w:rsidR="00A0026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collaborat</w:t>
      </w:r>
      <w:r w:rsidR="0008347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ive</w:t>
      </w:r>
      <w:r w:rsidR="00A0026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learning</w:t>
      </w:r>
      <w:r w:rsidR="0008347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. </w:t>
      </w:r>
      <w:r w:rsidR="00953B1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In this way they </w:t>
      </w:r>
      <w:proofErr w:type="gramStart"/>
      <w:r w:rsidR="00BF7AC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are able to</w:t>
      </w:r>
      <w:proofErr w:type="gramEnd"/>
      <w:r w:rsidR="00953B1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apply their learning to a patient scenario in a safe space</w:t>
      </w:r>
      <w:r w:rsidR="00FD536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</w:t>
      </w:r>
      <w:r w:rsidR="00953B1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before seeing real patients in the clinic. </w:t>
      </w:r>
      <w:r w:rsidR="00C37A0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Students were encouraged to role-play </w:t>
      </w:r>
      <w:r w:rsidR="0008347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Feedback </w:t>
      </w:r>
      <w:r w:rsidR="002F772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survey </w:t>
      </w:r>
      <w:r w:rsidR="0008347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from both groups was very positive, with 100% of the final years</w:t>
      </w:r>
      <w:r w:rsidR="00991DE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recommended the</w:t>
      </w:r>
      <w:r w:rsidR="00FD536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ir</w:t>
      </w:r>
      <w:r w:rsidR="00991DE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use after the pandemic for both year groups</w:t>
      </w:r>
      <w:r w:rsidR="00DD7A2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, they favoured a mix of real and simulated patients</w:t>
      </w:r>
      <w:r w:rsidR="00B324B5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to widen their experience</w:t>
      </w:r>
      <w:r w:rsidR="00991DE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  <w:r w:rsidR="003930A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077AD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Feedback from the first years was also very positive</w:t>
      </w:r>
      <w:r w:rsidR="00AD414E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, they found that the</w:t>
      </w:r>
      <w:r w:rsidR="00F175B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session</w:t>
      </w:r>
      <w:r w:rsidR="00FF618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</w:t>
      </w:r>
      <w:r w:rsidR="00F175B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he</w:t>
      </w:r>
      <w:r w:rsidR="00D8704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lped to bridge theory with patient interaction and </w:t>
      </w:r>
      <w:r w:rsidR="00627FC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identify knowledge gaps</w:t>
      </w:r>
      <w:r w:rsidR="00FF618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 The over-welcoming consensus was a preference for small group</w:t>
      </w:r>
      <w:r w:rsidR="00491AFE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</w:t>
      </w:r>
      <w:r w:rsidR="002415A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over</w:t>
      </w:r>
      <w:r w:rsidR="00491AFE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individual or</w:t>
      </w:r>
      <w:r w:rsidR="002415A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full group </w:t>
      </w:r>
      <w:r w:rsidR="00491AFE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learning.</w:t>
      </w:r>
    </w:p>
    <w:p w14:paraId="7707F756" w14:textId="77777777" w:rsidR="003D3434" w:rsidRDefault="003D3434" w:rsidP="00372AE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</w:pPr>
    </w:p>
    <w:p w14:paraId="55938D89" w14:textId="61D44395" w:rsidR="000C57CF" w:rsidRPr="000C57CF" w:rsidRDefault="000C57CF" w:rsidP="000C57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10. </w:t>
      </w:r>
      <w:r w:rsidRPr="000C57CF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What significance does your presentation have for colleagues in other departments across UCLan?</w:t>
      </w:r>
    </w:p>
    <w:p w14:paraId="18A9AD1E" w14:textId="77777777" w:rsidR="000C57CF" w:rsidRPr="000C57CF" w:rsidRDefault="000C57CF" w:rsidP="000C57C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</w:pPr>
      <w:r w:rsidRPr="000C57CF"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  <w:t>Max. 300 words</w:t>
      </w:r>
    </w:p>
    <w:p w14:paraId="08129A75" w14:textId="14D359DD" w:rsidR="00835EAF" w:rsidRDefault="00766B30" w:rsidP="00835EAF">
      <w:pPr>
        <w:shd w:val="clear" w:color="auto" w:fill="FFFFFF"/>
        <w:spacing w:after="0" w:line="240" w:lineRule="auto"/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Patient simulation is relevant to all healthcare courses</w:t>
      </w:r>
      <w:r w:rsidR="007F5BE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across UCLan and potentially also in areas </w:t>
      </w:r>
      <w:r w:rsidR="003261F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of all courses </w:t>
      </w:r>
      <w:r w:rsidR="007F5BE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where </w:t>
      </w:r>
      <w:r w:rsidR="004C327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students are required to apply their knowledge, analyse </w:t>
      </w:r>
      <w:proofErr w:type="gramStart"/>
      <w:r w:rsidR="004C327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problems</w:t>
      </w:r>
      <w:proofErr w:type="gramEnd"/>
      <w:r w:rsidR="004C327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and </w:t>
      </w:r>
      <w:r w:rsidR="003261F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formulate a management plan. </w:t>
      </w:r>
      <w:r w:rsidR="00795BD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Small group learning builds collaboration</w:t>
      </w:r>
      <w:r w:rsidR="009F363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skills and allows peer-learning in a safe space. Students access the simulation</w:t>
      </w:r>
      <w:r w:rsidR="0024624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</w:t>
      </w:r>
      <w:r w:rsidR="009F363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using a weblink</w:t>
      </w:r>
      <w:r w:rsidR="00E61B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from any device, this</w:t>
      </w:r>
      <w:r w:rsidR="009F363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can be done on campus in small groups, online remotely </w:t>
      </w:r>
      <w:r w:rsidR="00E61B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or</w:t>
      </w:r>
      <w:r w:rsidR="009F363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 mix of both which has great potential for blended learning</w:t>
      </w:r>
      <w:r w:rsidR="00F9369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  <w:r w:rsidR="009F363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E61B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It is also possible to quickly adapt </w:t>
      </w:r>
      <w:r w:rsidR="00F8246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sessions </w:t>
      </w:r>
      <w:r w:rsidR="00E61B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to </w:t>
      </w:r>
      <w:r w:rsidR="00210BB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be </w:t>
      </w:r>
      <w:r w:rsidR="00E61BD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on</w:t>
      </w:r>
      <w:r w:rsidR="00F8246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or off campus without any </w:t>
      </w:r>
      <w:r w:rsidR="00210BB6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additional changes. The simulations can be easily be cloned and adapted for different year groups depending on the </w:t>
      </w:r>
      <w:r w:rsidR="00005D5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stage of the course and they have proved very useful in the test, </w:t>
      </w:r>
      <w:r w:rsidR="002804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learn</w:t>
      </w:r>
      <w:r w:rsidR="00005D5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2804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re-</w:t>
      </w:r>
      <w:r w:rsidR="00005D5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test model</w:t>
      </w:r>
      <w:r w:rsidR="0028045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 First year students can experience a patient encounter in a safe space</w:t>
      </w:r>
      <w:r w:rsidR="004A218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allowing them to realise the importance of building a sound knowledge base, it adds relevance to their </w:t>
      </w:r>
      <w:r w:rsidR="00A50F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learning. Thinglink is free to use and easy to build simulations</w:t>
      </w:r>
      <w:r w:rsidR="00F9369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it is also fun </w:t>
      </w:r>
      <w:r w:rsidR="00D04495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for students </w:t>
      </w:r>
      <w:r w:rsidR="00F9369F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and introduces an element of gamification into the session.</w:t>
      </w:r>
      <w:r w:rsidR="00A50F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Existing written </w:t>
      </w:r>
      <w:r w:rsidR="00001E8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scenarios and real patient case studies</w:t>
      </w:r>
      <w:r w:rsidR="00A50F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001E8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can be easily adapted</w:t>
      </w:r>
      <w:r w:rsidR="0024624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. </w:t>
      </w:r>
      <w:r w:rsidR="00945EA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Most importantly, the student </w:t>
      </w:r>
      <w:r w:rsidR="00945EA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lastRenderedPageBreak/>
        <w:t xml:space="preserve">feedback was excellent and </w:t>
      </w:r>
      <w:r w:rsidR="0099632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overwhelmingly in favour of their continued use in the course after the pandemic.</w:t>
      </w:r>
    </w:p>
    <w:p w14:paraId="70A19E14" w14:textId="77777777" w:rsidR="00766B30" w:rsidRDefault="00766B30" w:rsidP="00835E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n-GB"/>
        </w:rPr>
      </w:pPr>
    </w:p>
    <w:p w14:paraId="0F278857" w14:textId="4C950552" w:rsidR="000C57CF" w:rsidRPr="000C57CF" w:rsidRDefault="000C57CF" w:rsidP="000C57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11. </w:t>
      </w:r>
      <w:r w:rsidRPr="000C57CF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How does your presentation relate to the Curriculum Framework?</w:t>
      </w:r>
    </w:p>
    <w:p w14:paraId="7AA63423" w14:textId="3DE18B20" w:rsidR="000C57CF" w:rsidRDefault="000C57CF" w:rsidP="000C57C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</w:pPr>
      <w:r w:rsidRPr="000C57CF"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  <w:t>Max. 300 words</w:t>
      </w:r>
    </w:p>
    <w:p w14:paraId="1B68F4BF" w14:textId="66C8CE49" w:rsidR="00C459FE" w:rsidRPr="00A80201" w:rsidRDefault="00764CD9" w:rsidP="000C57CF">
      <w:pPr>
        <w:shd w:val="clear" w:color="auto" w:fill="FFFFFF"/>
        <w:spacing w:after="0" w:line="240" w:lineRule="auto"/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The use of Thinglink patient simulations</w:t>
      </w:r>
      <w:r w:rsidR="0093255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allows students to experience real-world learning in a safe environment</w:t>
      </w:r>
      <w:r w:rsidR="009A57E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, w</w:t>
      </w:r>
      <w:r w:rsidR="004E63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ith scenarios being drawn from real case studies. </w:t>
      </w:r>
      <w:r w:rsidR="001445A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Although designed to replace real patents is the clinic in line with the professional body for Optometry</w:t>
      </w:r>
      <w:r w:rsidR="008E3F70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’s requirements (General Optical Council)</w:t>
      </w:r>
      <w:r w:rsidR="001445A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, the</w:t>
      </w:r>
      <w:r w:rsidR="005E02C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ir use has</w:t>
      </w:r>
      <w:r w:rsidR="001445A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proved successful earlier in the course. </w:t>
      </w:r>
      <w:r w:rsidR="00211FCC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They also allow students to </w:t>
      </w:r>
      <w:r w:rsidR="000E147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discuss, analyse and develop a management plan</w:t>
      </w:r>
      <w:r w:rsidR="0043581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in a fun and simulating learning environment.</w:t>
      </w:r>
      <w:r w:rsidR="00F100F9">
        <w:rPr>
          <w:rFonts w:ascii="Segoe UI" w:hAnsi="Segoe UI" w:cs="Segoe UI"/>
          <w:color w:val="0070C0"/>
          <w:sz w:val="26"/>
          <w:szCs w:val="26"/>
          <w:shd w:val="clear" w:color="auto" w:fill="FFFFFF"/>
          <w:vertAlign w:val="superscript"/>
        </w:rPr>
        <w:t>2</w:t>
      </w:r>
      <w:r w:rsidR="00A80201">
        <w:rPr>
          <w:rFonts w:ascii="Segoe UI" w:hAnsi="Segoe UI" w:cs="Segoe UI"/>
          <w:color w:val="0070C0"/>
          <w:sz w:val="26"/>
          <w:szCs w:val="26"/>
          <w:shd w:val="clear" w:color="auto" w:fill="FFFFFF"/>
          <w:vertAlign w:val="superscript"/>
        </w:rPr>
        <w:t xml:space="preserve"> </w:t>
      </w:r>
      <w:r w:rsidR="00A80201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The </w:t>
      </w:r>
      <w:r w:rsidR="0090518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need for diagnostic reasoning in medical education is well</w:t>
      </w:r>
      <w:r w:rsidR="007A6A7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known</w:t>
      </w:r>
      <w:r w:rsidR="007A6A73" w:rsidRPr="007A6A73">
        <w:rPr>
          <w:rFonts w:ascii="Segoe UI" w:hAnsi="Segoe UI" w:cs="Segoe UI"/>
          <w:color w:val="0070C0"/>
          <w:sz w:val="26"/>
          <w:szCs w:val="26"/>
          <w:shd w:val="clear" w:color="auto" w:fill="FFFFFF"/>
          <w:vertAlign w:val="superscript"/>
        </w:rPr>
        <w:t>3</w:t>
      </w:r>
      <w:r w:rsidR="007A6A7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and this new technology</w:t>
      </w:r>
      <w:r w:rsidR="00DB3228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used in small groups with  the aid of a </w:t>
      </w:r>
      <w:r w:rsidR="00CB3E0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facilitator</w:t>
      </w:r>
      <w:r w:rsidR="007A6A73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allows this to be achieved</w:t>
      </w:r>
      <w:r w:rsidR="00CB3E0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consistently across different groups of students.</w:t>
      </w:r>
    </w:p>
    <w:p w14:paraId="10A32A89" w14:textId="28A6A086" w:rsidR="00847FD4" w:rsidRDefault="008F1371" w:rsidP="000C57CF">
      <w:pPr>
        <w:shd w:val="clear" w:color="auto" w:fill="FFFFFF"/>
        <w:spacing w:after="0" w:line="240" w:lineRule="auto"/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Feedback surveys </w:t>
      </w:r>
      <w:r w:rsidR="00DA52C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for both groups of students </w:t>
      </w: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strongly support</w:t>
      </w:r>
      <w:r w:rsidR="00DA52C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ed</w:t>
      </w: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the continued use</w:t>
      </w:r>
      <w:r w:rsidR="00DA52C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of Thinglink scenarios in line with student co-creation</w:t>
      </w:r>
      <w:r w:rsidR="00154132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  <w:r w:rsidR="00DA52CD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</w:t>
      </w:r>
      <w:r w:rsidR="0097064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This presentation will demonstrate how </w:t>
      </w:r>
      <w:r w:rsidR="0093215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this can be achieved using a creative</w:t>
      </w:r>
      <w:r w:rsidR="001E4E8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, digital </w:t>
      </w:r>
      <w:r w:rsidR="0093215A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approach</w:t>
      </w:r>
      <w:r w:rsidR="001E4E8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which is inclusive for both on and off campus students and can be accessed on any device</w:t>
      </w:r>
      <w:r w:rsidR="00512777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 with an internet connection using a weblink</w:t>
      </w:r>
      <w:r w:rsidR="001F197B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. </w:t>
      </w:r>
    </w:p>
    <w:p w14:paraId="60253180" w14:textId="77777777" w:rsidR="004E6370" w:rsidRPr="000C57CF" w:rsidRDefault="004E6370" w:rsidP="000C57C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</w:pPr>
    </w:p>
    <w:p w14:paraId="3198F1D6" w14:textId="1CCBA004" w:rsidR="000C57CF" w:rsidRDefault="00E816FD" w:rsidP="00835EAF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  <w:shd w:val="clear" w:color="auto" w:fill="FFFFFF"/>
        </w:rPr>
        <w:t>12.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Please note any references used</w:t>
      </w:r>
    </w:p>
    <w:p w14:paraId="5EEFB6FA" w14:textId="59BA3986" w:rsidR="00532694" w:rsidRPr="00F100F9" w:rsidRDefault="00807ABE" w:rsidP="00532694">
      <w:pPr>
        <w:pStyle w:val="ListParagraph"/>
        <w:numPr>
          <w:ilvl w:val="0"/>
          <w:numId w:val="1"/>
        </w:numPr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‘The Diamond’: a structure for simulation debrief.  Peter Jaye, Libby Thomas and Gabriel Reedy. 2015 The Clinical Teacher 2015; 12: 171–175</w:t>
      </w:r>
      <w:r w:rsidR="00DD0513"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2015; 12: 32–36</w:t>
      </w:r>
      <w:r w:rsidR="00F100F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  <w:r w:rsidR="00532694" w:rsidRPr="00532694">
        <w:t xml:space="preserve"> </w:t>
      </w:r>
    </w:p>
    <w:p w14:paraId="0E254387" w14:textId="2F7FED2A" w:rsidR="00F100F9" w:rsidRPr="00F100F9" w:rsidRDefault="00F100F9" w:rsidP="00F100F9">
      <w:pPr>
        <w:pStyle w:val="ListParagraph"/>
        <w:numPr>
          <w:ilvl w:val="0"/>
          <w:numId w:val="1"/>
        </w:numPr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Clinical simulation practise framework. Hossein Khalili. The clinical teacher</w:t>
      </w:r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</w:p>
    <w:p w14:paraId="4AC6759F" w14:textId="583DBEA4" w:rsidR="00E816FD" w:rsidRPr="00532694" w:rsidRDefault="00532694" w:rsidP="00532694">
      <w:pPr>
        <w:pStyle w:val="ListParagraph"/>
        <w:numPr>
          <w:ilvl w:val="0"/>
          <w:numId w:val="1"/>
        </w:numPr>
        <w:rPr>
          <w:rFonts w:ascii="Segoe UI" w:hAnsi="Segoe UI" w:cs="Segoe UI"/>
          <w:color w:val="0070C0"/>
          <w:sz w:val="26"/>
          <w:szCs w:val="26"/>
          <w:shd w:val="clear" w:color="auto" w:fill="FFFFFF"/>
        </w:rPr>
      </w:pPr>
      <w:r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 xml:space="preserve">Constructivism: reflections on twenty-five years teaching the constructivist approach in medical education. Reg </w:t>
      </w:r>
      <w:proofErr w:type="spellStart"/>
      <w:r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Dennick</w:t>
      </w:r>
      <w:proofErr w:type="spellEnd"/>
      <w:r w:rsidRPr="00532694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  International Journal of Medical Education. 2016;7:200-205</w:t>
      </w:r>
      <w:r w:rsidR="00F100F9"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.</w:t>
      </w:r>
    </w:p>
    <w:p w14:paraId="6D85C50E" w14:textId="20017C09" w:rsidR="00E816FD" w:rsidRPr="00835EAF" w:rsidRDefault="00E816FD" w:rsidP="00835E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n-GB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  <w:shd w:val="clear" w:color="auto" w:fill="FFFFFF"/>
        </w:rPr>
        <w:t>13.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Are there any prior commitments on the day of the conference that we would need to take into consideration when planning the timeslots?</w:t>
      </w:r>
    </w:p>
    <w:p w14:paraId="60093FF3" w14:textId="7C1551EE" w:rsidR="00773D17" w:rsidRDefault="00847FD4">
      <w:r>
        <w:rPr>
          <w:rFonts w:ascii="Segoe UI" w:hAnsi="Segoe UI" w:cs="Segoe UI"/>
          <w:color w:val="0070C0"/>
          <w:sz w:val="26"/>
          <w:szCs w:val="26"/>
          <w:shd w:val="clear" w:color="auto" w:fill="FFFFFF"/>
        </w:rPr>
        <w:t>No</w:t>
      </w:r>
    </w:p>
    <w:sectPr w:rsidR="00773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769"/>
    <w:multiLevelType w:val="hybridMultilevel"/>
    <w:tmpl w:val="678CF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MTO1NDQ1szS0sDRX0lEKTi0uzszPAykwqgUANW9SpCwAAAA="/>
  </w:docVars>
  <w:rsids>
    <w:rsidRoot w:val="001069F5"/>
    <w:rsid w:val="00001E81"/>
    <w:rsid w:val="00005D53"/>
    <w:rsid w:val="00023C21"/>
    <w:rsid w:val="00056C31"/>
    <w:rsid w:val="00077ADF"/>
    <w:rsid w:val="00083479"/>
    <w:rsid w:val="000C57CF"/>
    <w:rsid w:val="000E147D"/>
    <w:rsid w:val="001069F5"/>
    <w:rsid w:val="00136474"/>
    <w:rsid w:val="00142DC2"/>
    <w:rsid w:val="001445A1"/>
    <w:rsid w:val="00146715"/>
    <w:rsid w:val="00154132"/>
    <w:rsid w:val="00191AFF"/>
    <w:rsid w:val="00193C27"/>
    <w:rsid w:val="001B496D"/>
    <w:rsid w:val="001E1A29"/>
    <w:rsid w:val="001E4E8B"/>
    <w:rsid w:val="001E7826"/>
    <w:rsid w:val="001F197B"/>
    <w:rsid w:val="00210BB6"/>
    <w:rsid w:val="00211FCC"/>
    <w:rsid w:val="002415A7"/>
    <w:rsid w:val="00246248"/>
    <w:rsid w:val="00280451"/>
    <w:rsid w:val="002F44DA"/>
    <w:rsid w:val="002F7721"/>
    <w:rsid w:val="0030449A"/>
    <w:rsid w:val="003149E2"/>
    <w:rsid w:val="003261F4"/>
    <w:rsid w:val="00372AEE"/>
    <w:rsid w:val="00372DEA"/>
    <w:rsid w:val="00391BFD"/>
    <w:rsid w:val="003930AC"/>
    <w:rsid w:val="003D3434"/>
    <w:rsid w:val="00426323"/>
    <w:rsid w:val="00435817"/>
    <w:rsid w:val="004639A1"/>
    <w:rsid w:val="00485031"/>
    <w:rsid w:val="00491AFE"/>
    <w:rsid w:val="004A2188"/>
    <w:rsid w:val="004A5618"/>
    <w:rsid w:val="004C327A"/>
    <w:rsid w:val="004E3DEC"/>
    <w:rsid w:val="004E6370"/>
    <w:rsid w:val="00512777"/>
    <w:rsid w:val="00532694"/>
    <w:rsid w:val="00542F54"/>
    <w:rsid w:val="0057273B"/>
    <w:rsid w:val="005E02C3"/>
    <w:rsid w:val="00601288"/>
    <w:rsid w:val="00605B56"/>
    <w:rsid w:val="00627FC7"/>
    <w:rsid w:val="00636251"/>
    <w:rsid w:val="0066029C"/>
    <w:rsid w:val="00664CD9"/>
    <w:rsid w:val="006B0457"/>
    <w:rsid w:val="006B2DCC"/>
    <w:rsid w:val="00764CD9"/>
    <w:rsid w:val="00766B30"/>
    <w:rsid w:val="00773D17"/>
    <w:rsid w:val="00795BDA"/>
    <w:rsid w:val="007A6A73"/>
    <w:rsid w:val="007B2A6F"/>
    <w:rsid w:val="007F3BD0"/>
    <w:rsid w:val="007F5BE8"/>
    <w:rsid w:val="00807ABE"/>
    <w:rsid w:val="00835EAF"/>
    <w:rsid w:val="00842B0A"/>
    <w:rsid w:val="00847FD4"/>
    <w:rsid w:val="008A0D47"/>
    <w:rsid w:val="008C1C9A"/>
    <w:rsid w:val="008E3F70"/>
    <w:rsid w:val="008F1371"/>
    <w:rsid w:val="00905184"/>
    <w:rsid w:val="00931D1F"/>
    <w:rsid w:val="009320E3"/>
    <w:rsid w:val="0093215A"/>
    <w:rsid w:val="0093255B"/>
    <w:rsid w:val="00945EA7"/>
    <w:rsid w:val="009502D9"/>
    <w:rsid w:val="00953B10"/>
    <w:rsid w:val="00970647"/>
    <w:rsid w:val="00991DE0"/>
    <w:rsid w:val="00996322"/>
    <w:rsid w:val="009A2427"/>
    <w:rsid w:val="009A57EC"/>
    <w:rsid w:val="009B50FB"/>
    <w:rsid w:val="009B55C4"/>
    <w:rsid w:val="009F363F"/>
    <w:rsid w:val="00A00269"/>
    <w:rsid w:val="00A15A7C"/>
    <w:rsid w:val="00A23F38"/>
    <w:rsid w:val="00A50F70"/>
    <w:rsid w:val="00A80201"/>
    <w:rsid w:val="00AA62F9"/>
    <w:rsid w:val="00AB2159"/>
    <w:rsid w:val="00AD414E"/>
    <w:rsid w:val="00AF79AB"/>
    <w:rsid w:val="00B324B5"/>
    <w:rsid w:val="00B373D8"/>
    <w:rsid w:val="00B96400"/>
    <w:rsid w:val="00BF7AC2"/>
    <w:rsid w:val="00C23CD5"/>
    <w:rsid w:val="00C37A00"/>
    <w:rsid w:val="00C4132F"/>
    <w:rsid w:val="00C459FE"/>
    <w:rsid w:val="00C73C55"/>
    <w:rsid w:val="00CA5BB4"/>
    <w:rsid w:val="00CB3E09"/>
    <w:rsid w:val="00D04495"/>
    <w:rsid w:val="00D35F83"/>
    <w:rsid w:val="00D87048"/>
    <w:rsid w:val="00DA52CD"/>
    <w:rsid w:val="00DB3228"/>
    <w:rsid w:val="00DC6E1B"/>
    <w:rsid w:val="00DD0513"/>
    <w:rsid w:val="00DD7A29"/>
    <w:rsid w:val="00DF618D"/>
    <w:rsid w:val="00E41804"/>
    <w:rsid w:val="00E41BA6"/>
    <w:rsid w:val="00E61BD4"/>
    <w:rsid w:val="00E66D07"/>
    <w:rsid w:val="00E816FD"/>
    <w:rsid w:val="00F07FC7"/>
    <w:rsid w:val="00F100F9"/>
    <w:rsid w:val="00F175B4"/>
    <w:rsid w:val="00F52870"/>
    <w:rsid w:val="00F538A0"/>
    <w:rsid w:val="00F82463"/>
    <w:rsid w:val="00F92559"/>
    <w:rsid w:val="00F9369F"/>
    <w:rsid w:val="00FD3BFB"/>
    <w:rsid w:val="00FD5361"/>
    <w:rsid w:val="00FF3337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3966"/>
  <w15:chartTrackingRefBased/>
  <w15:docId w15:val="{81E43AE5-AD26-41C9-BAD7-AD5CBA0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-number">
    <w:name w:val="ordinal-number"/>
    <w:basedOn w:val="DefaultParagraphFont"/>
    <w:rsid w:val="00C23CD5"/>
  </w:style>
  <w:style w:type="character" w:customStyle="1" w:styleId="accessibility-reader-no-display">
    <w:name w:val="accessibility-reader-no-display"/>
    <w:basedOn w:val="DefaultParagraphFont"/>
    <w:rsid w:val="00835EAF"/>
  </w:style>
  <w:style w:type="character" w:styleId="Hyperlink">
    <w:name w:val="Hyperlink"/>
    <w:basedOn w:val="DefaultParagraphFont"/>
    <w:uiPriority w:val="99"/>
    <w:unhideWhenUsed/>
    <w:rsid w:val="00773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D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2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6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786</Words>
  <Characters>4485</Characters>
  <Application>Microsoft Office Word</Application>
  <DocSecurity>0</DocSecurity>
  <Lines>37</Lines>
  <Paragraphs>10</Paragraphs>
  <ScaleCrop>false</ScaleCrop>
  <Company>University Of Central Lancashire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Collin &lt;School of Medicine&gt;</dc:creator>
  <cp:keywords/>
  <dc:description/>
  <cp:lastModifiedBy>Catherine Collin &lt;School of Medicine&gt;</cp:lastModifiedBy>
  <cp:revision>137</cp:revision>
  <dcterms:created xsi:type="dcterms:W3CDTF">2021-03-26T15:36:00Z</dcterms:created>
  <dcterms:modified xsi:type="dcterms:W3CDTF">2022-04-12T11:30:00Z</dcterms:modified>
</cp:coreProperties>
</file>